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216E00" w:rsidRPr="001C3381" w:rsidTr="001C3381"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СОГЛАСОВАНО</w:t>
            </w:r>
          </w:p>
          <w:p w:rsidR="001C3381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Начальник </w:t>
            </w:r>
          </w:p>
          <w:p w:rsidR="00216E00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департамента образования и науки Кемеровской области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_________________ </w:t>
            </w:r>
            <w:r w:rsidR="001C3381" w:rsidRPr="001C3381">
              <w:rPr>
                <w:sz w:val="24"/>
                <w:szCs w:val="24"/>
              </w:rPr>
              <w:t>А</w:t>
            </w:r>
            <w:r w:rsidRPr="001C3381">
              <w:rPr>
                <w:sz w:val="24"/>
                <w:szCs w:val="24"/>
              </w:rPr>
              <w:t>.</w:t>
            </w:r>
            <w:r w:rsidR="001C3381" w:rsidRPr="001C3381">
              <w:rPr>
                <w:sz w:val="24"/>
                <w:szCs w:val="24"/>
              </w:rPr>
              <w:t xml:space="preserve"> В</w:t>
            </w:r>
            <w:r w:rsidRPr="001C3381">
              <w:rPr>
                <w:sz w:val="24"/>
                <w:szCs w:val="24"/>
              </w:rPr>
              <w:t xml:space="preserve">. </w:t>
            </w:r>
            <w:proofErr w:type="spellStart"/>
            <w:r w:rsidR="001C3381" w:rsidRPr="001C3381">
              <w:rPr>
                <w:sz w:val="24"/>
                <w:szCs w:val="24"/>
              </w:rPr>
              <w:t>Чепкасов</w:t>
            </w:r>
            <w:proofErr w:type="spellEnd"/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«____» ________________ 2019 г.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СОГЛАСОВАНО</w:t>
            </w:r>
          </w:p>
          <w:p w:rsidR="001C3381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Начальник </w:t>
            </w:r>
          </w:p>
          <w:p w:rsidR="001C3381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департамента молодежной политики и спорта Кемеровской области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__________________ А.</w:t>
            </w:r>
            <w:r w:rsidR="001C3381" w:rsidRPr="001C3381">
              <w:rPr>
                <w:sz w:val="24"/>
                <w:szCs w:val="24"/>
              </w:rPr>
              <w:t xml:space="preserve"> А</w:t>
            </w:r>
            <w:r w:rsidRPr="001C3381">
              <w:rPr>
                <w:sz w:val="24"/>
                <w:szCs w:val="24"/>
              </w:rPr>
              <w:t xml:space="preserve">. </w:t>
            </w:r>
            <w:proofErr w:type="spellStart"/>
            <w:r w:rsidR="001C3381" w:rsidRPr="001C3381">
              <w:rPr>
                <w:sz w:val="24"/>
                <w:szCs w:val="24"/>
              </w:rPr>
              <w:t>Пятовский</w:t>
            </w:r>
            <w:proofErr w:type="spellEnd"/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«____» ________________ 2019 г.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6E00" w:rsidRPr="001C3381" w:rsidTr="001C3381"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6E00" w:rsidRPr="001C3381" w:rsidTr="001C3381"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УТВЕРЖДАЮ</w:t>
            </w:r>
          </w:p>
          <w:p w:rsidR="001C3381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Председатель </w:t>
            </w:r>
          </w:p>
          <w:p w:rsidR="001C3381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Кемеров</w:t>
            </w:r>
            <w:r w:rsidR="00216E00" w:rsidRPr="001C3381">
              <w:rPr>
                <w:sz w:val="24"/>
                <w:szCs w:val="24"/>
              </w:rPr>
              <w:t xml:space="preserve">ской </w:t>
            </w:r>
            <w:r w:rsidRPr="001C3381">
              <w:rPr>
                <w:sz w:val="24"/>
                <w:szCs w:val="24"/>
              </w:rPr>
              <w:t>региональ</w:t>
            </w:r>
            <w:r w:rsidR="00216E00" w:rsidRPr="001C3381">
              <w:rPr>
                <w:sz w:val="24"/>
                <w:szCs w:val="24"/>
              </w:rPr>
              <w:t xml:space="preserve">ной </w:t>
            </w:r>
          </w:p>
          <w:p w:rsidR="00216E00" w:rsidRPr="001C3381" w:rsidRDefault="001C3381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общественной </w:t>
            </w:r>
            <w:r w:rsidR="00216E00" w:rsidRPr="001C3381">
              <w:rPr>
                <w:sz w:val="24"/>
                <w:szCs w:val="24"/>
              </w:rPr>
              <w:t xml:space="preserve">организации 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«Союз Молодежи</w:t>
            </w:r>
            <w:r w:rsidR="001C3381" w:rsidRPr="001C3381">
              <w:rPr>
                <w:sz w:val="24"/>
                <w:szCs w:val="24"/>
              </w:rPr>
              <w:t xml:space="preserve"> Кузбасса</w:t>
            </w:r>
            <w:r w:rsidRPr="001C3381">
              <w:rPr>
                <w:sz w:val="24"/>
                <w:szCs w:val="24"/>
              </w:rPr>
              <w:t>»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6E00" w:rsidRPr="001C3381" w:rsidRDefault="00216E00" w:rsidP="00922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 xml:space="preserve">________________ </w:t>
            </w:r>
            <w:r w:rsidR="001C3381" w:rsidRPr="001C3381">
              <w:rPr>
                <w:sz w:val="24"/>
                <w:szCs w:val="24"/>
              </w:rPr>
              <w:t>И</w:t>
            </w:r>
            <w:r w:rsidRPr="001C3381">
              <w:rPr>
                <w:sz w:val="24"/>
                <w:szCs w:val="24"/>
              </w:rPr>
              <w:t>.</w:t>
            </w:r>
            <w:r w:rsidR="001C3381" w:rsidRPr="001C3381">
              <w:rPr>
                <w:sz w:val="24"/>
                <w:szCs w:val="24"/>
              </w:rPr>
              <w:t xml:space="preserve"> Н</w:t>
            </w:r>
            <w:r w:rsidRPr="001C3381">
              <w:rPr>
                <w:sz w:val="24"/>
                <w:szCs w:val="24"/>
              </w:rPr>
              <w:t>.</w:t>
            </w:r>
            <w:r w:rsidR="001C3381" w:rsidRPr="001C3381">
              <w:rPr>
                <w:sz w:val="24"/>
                <w:szCs w:val="24"/>
              </w:rPr>
              <w:t xml:space="preserve"> Рондик</w:t>
            </w:r>
          </w:p>
          <w:p w:rsidR="00216E00" w:rsidRPr="001C3381" w:rsidRDefault="00216E00" w:rsidP="00922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3381">
              <w:rPr>
                <w:sz w:val="24"/>
                <w:szCs w:val="24"/>
              </w:rPr>
              <w:t>«____» _________________ 2019 г.</w:t>
            </w:r>
          </w:p>
        </w:tc>
      </w:tr>
    </w:tbl>
    <w:p w:rsidR="006D5B9A" w:rsidRPr="001C3381" w:rsidRDefault="006D5B9A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216E00" w:rsidRPr="001C3381" w:rsidRDefault="00216E00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A32AF8" w:rsidRPr="001C3381" w:rsidRDefault="00A32AF8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>ПОЛОЖЕНИЕ</w:t>
      </w:r>
    </w:p>
    <w:p w:rsidR="001C3381" w:rsidRDefault="00A32AF8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 xml:space="preserve">о </w:t>
      </w:r>
      <w:r w:rsidR="001C3381" w:rsidRPr="001C3381">
        <w:rPr>
          <w:b/>
          <w:bCs/>
          <w:sz w:val="24"/>
          <w:szCs w:val="24"/>
        </w:rPr>
        <w:t>регионально</w:t>
      </w:r>
      <w:r w:rsidR="001C3381">
        <w:rPr>
          <w:b/>
          <w:bCs/>
          <w:sz w:val="24"/>
          <w:szCs w:val="24"/>
        </w:rPr>
        <w:t>м</w:t>
      </w:r>
      <w:r w:rsidR="001C3381" w:rsidRPr="001C3381">
        <w:rPr>
          <w:b/>
          <w:bCs/>
          <w:sz w:val="24"/>
          <w:szCs w:val="24"/>
        </w:rPr>
        <w:t xml:space="preserve"> заочно</w:t>
      </w:r>
      <w:r w:rsidR="001C3381">
        <w:rPr>
          <w:b/>
          <w:bCs/>
          <w:sz w:val="24"/>
          <w:szCs w:val="24"/>
        </w:rPr>
        <w:t>м</w:t>
      </w:r>
      <w:r w:rsidR="001C3381" w:rsidRPr="001C3381">
        <w:rPr>
          <w:b/>
          <w:bCs/>
          <w:sz w:val="24"/>
          <w:szCs w:val="24"/>
        </w:rPr>
        <w:t xml:space="preserve"> этап</w:t>
      </w:r>
      <w:r w:rsidR="001C3381">
        <w:rPr>
          <w:b/>
          <w:bCs/>
          <w:sz w:val="24"/>
          <w:szCs w:val="24"/>
        </w:rPr>
        <w:t>е</w:t>
      </w:r>
      <w:r w:rsidR="001C3381" w:rsidRPr="001C3381">
        <w:rPr>
          <w:b/>
          <w:sz w:val="24"/>
          <w:szCs w:val="24"/>
        </w:rPr>
        <w:t xml:space="preserve"> </w:t>
      </w:r>
    </w:p>
    <w:p w:rsidR="001C3381" w:rsidRDefault="00A32AF8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>Российской национал</w:t>
      </w:r>
      <w:r w:rsidR="0014633D" w:rsidRPr="001C3381">
        <w:rPr>
          <w:b/>
          <w:sz w:val="24"/>
          <w:szCs w:val="24"/>
        </w:rPr>
        <w:t>ьной премии «Студент года – 2019</w:t>
      </w:r>
      <w:r w:rsidRPr="001C3381">
        <w:rPr>
          <w:b/>
          <w:sz w:val="24"/>
          <w:szCs w:val="24"/>
        </w:rPr>
        <w:t>»</w:t>
      </w:r>
      <w:r w:rsidR="001C3381">
        <w:rPr>
          <w:b/>
          <w:sz w:val="24"/>
          <w:szCs w:val="24"/>
        </w:rPr>
        <w:t xml:space="preserve"> </w:t>
      </w:r>
    </w:p>
    <w:p w:rsidR="00A32AF8" w:rsidRPr="001C3381" w:rsidRDefault="00A32AF8" w:rsidP="009226A7">
      <w:pPr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  <w:r w:rsidRPr="001C3381">
        <w:rPr>
          <w:b/>
          <w:color w:val="000000"/>
          <w:sz w:val="24"/>
          <w:szCs w:val="24"/>
        </w:rPr>
        <w:t xml:space="preserve">образовательных организаций высшего образования </w:t>
      </w:r>
    </w:p>
    <w:p w:rsidR="00A32AF8" w:rsidRPr="001C3381" w:rsidRDefault="00A32AF8" w:rsidP="009226A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A32AF8" w:rsidRPr="001C3381" w:rsidRDefault="00DA6C83" w:rsidP="009226A7">
      <w:pPr>
        <w:pStyle w:val="a4"/>
        <w:tabs>
          <w:tab w:val="left" w:pos="993"/>
        </w:tabs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>1. Общие положения</w:t>
      </w:r>
    </w:p>
    <w:p w:rsidR="00A32AF8" w:rsidRPr="009226A7" w:rsidRDefault="00A32AF8" w:rsidP="009226A7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cs="Times New Roman"/>
          <w:bCs/>
          <w:color w:val="auto"/>
          <w:lang w:val="ru-RU"/>
        </w:rPr>
      </w:pPr>
      <w:r w:rsidRPr="001C3381">
        <w:rPr>
          <w:rFonts w:cs="Times New Roman"/>
          <w:bCs/>
          <w:color w:val="auto"/>
          <w:lang w:val="ru-RU"/>
        </w:rPr>
        <w:t xml:space="preserve"> Настоящее Положение </w:t>
      </w:r>
      <w:r w:rsidRPr="001C3381">
        <w:rPr>
          <w:rFonts w:cs="Times New Roman"/>
          <w:lang w:val="ru-RU"/>
        </w:rPr>
        <w:t>определяет цели и задачи, порядок проведения, содержание, требования к участникам</w:t>
      </w:r>
      <w:r w:rsidRPr="001C3381">
        <w:rPr>
          <w:rFonts w:cs="Times New Roman"/>
          <w:bCs/>
          <w:color w:val="auto"/>
          <w:lang w:val="ru-RU"/>
        </w:rPr>
        <w:t xml:space="preserve"> </w:t>
      </w:r>
      <w:r w:rsidR="001C3381" w:rsidRPr="001C3381">
        <w:rPr>
          <w:rFonts w:cs="Times New Roman"/>
          <w:bCs/>
          <w:color w:val="auto"/>
          <w:lang w:val="ru-RU"/>
        </w:rPr>
        <w:t xml:space="preserve">регионального заочного этапа Российской национальной премии «Студент года – 2019» </w:t>
      </w:r>
      <w:r w:rsidR="001C3381" w:rsidRPr="009226A7">
        <w:rPr>
          <w:rFonts w:cs="Times New Roman"/>
          <w:bCs/>
          <w:color w:val="auto"/>
          <w:lang w:val="ru-RU"/>
        </w:rPr>
        <w:t xml:space="preserve">образовательных организаций высшего образования </w:t>
      </w:r>
      <w:r w:rsidR="001C3381" w:rsidRPr="009226A7">
        <w:rPr>
          <w:rFonts w:cs="Times New Roman"/>
          <w:lang w:val="ru-RU"/>
        </w:rPr>
        <w:t>(далее – Премия)</w:t>
      </w:r>
      <w:r w:rsidR="001C3381" w:rsidRPr="009226A7">
        <w:rPr>
          <w:rFonts w:cs="Times New Roman"/>
          <w:bCs/>
          <w:color w:val="auto"/>
          <w:lang w:val="ru-RU"/>
        </w:rPr>
        <w:t xml:space="preserve"> в Кемеровской области</w:t>
      </w:r>
      <w:r w:rsidR="001C3381" w:rsidRPr="009226A7">
        <w:rPr>
          <w:rFonts w:cs="Times New Roman"/>
          <w:lang w:val="ru-RU"/>
        </w:rPr>
        <w:t xml:space="preserve">.  </w:t>
      </w:r>
    </w:p>
    <w:p w:rsidR="009226A7" w:rsidRPr="009226A7" w:rsidRDefault="009226A7" w:rsidP="009226A7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cs="Times New Roman"/>
          <w:lang w:val="ru-RU"/>
        </w:rPr>
      </w:pPr>
      <w:r w:rsidRPr="009226A7">
        <w:rPr>
          <w:rFonts w:cs="Times New Roman"/>
          <w:bCs/>
          <w:color w:val="auto"/>
          <w:lang w:val="ru-RU"/>
        </w:rPr>
        <w:t xml:space="preserve">Организатором регионального заочного этапа Премии в Кемеровской области является Кемеровская региональная общественная организация «Союз Молодежи Кузбасса» при поддержке </w:t>
      </w:r>
      <w:r w:rsidRPr="009226A7">
        <w:rPr>
          <w:rFonts w:cs="Times New Roman"/>
          <w:lang w:val="ru-RU"/>
        </w:rPr>
        <w:t xml:space="preserve">департамента молодежной политики и спорта Кемеровской области и департамента образования и науки Кемеровской области. </w:t>
      </w:r>
    </w:p>
    <w:p w:rsidR="009226A7" w:rsidRPr="009226A7" w:rsidRDefault="009226A7" w:rsidP="009226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226A7">
        <w:rPr>
          <w:sz w:val="24"/>
          <w:szCs w:val="24"/>
        </w:rPr>
        <w:t>Региональный заочный этап Российской национальной премии «Студент года-201</w:t>
      </w:r>
      <w:r>
        <w:rPr>
          <w:sz w:val="24"/>
          <w:szCs w:val="24"/>
        </w:rPr>
        <w:t>9</w:t>
      </w:r>
      <w:r w:rsidRPr="009226A7">
        <w:rPr>
          <w:sz w:val="24"/>
          <w:szCs w:val="24"/>
        </w:rPr>
        <w:t>» в Кемеровской области проводится в соответствии с Положением о Российской национальной премии «Студент года-201</w:t>
      </w:r>
      <w:r>
        <w:rPr>
          <w:sz w:val="24"/>
          <w:szCs w:val="24"/>
        </w:rPr>
        <w:t>9</w:t>
      </w:r>
      <w:r w:rsidRPr="009226A7">
        <w:rPr>
          <w:sz w:val="24"/>
          <w:szCs w:val="24"/>
        </w:rPr>
        <w:t xml:space="preserve">».   </w:t>
      </w:r>
    </w:p>
    <w:p w:rsidR="00A32AF8" w:rsidRPr="001C3381" w:rsidRDefault="00DA6C83" w:rsidP="009226A7">
      <w:pPr>
        <w:widowControl/>
        <w:tabs>
          <w:tab w:val="left" w:pos="426"/>
          <w:tab w:val="left" w:pos="993"/>
          <w:tab w:val="left" w:pos="1134"/>
        </w:tabs>
        <w:suppressAutoHyphens/>
        <w:autoSpaceDE/>
        <w:autoSpaceDN/>
        <w:adjustRightInd/>
        <w:spacing w:before="240" w:line="276" w:lineRule="auto"/>
        <w:ind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>2. Цели и задачи Премии</w:t>
      </w:r>
    </w:p>
    <w:p w:rsidR="00A32AF8" w:rsidRPr="001C3381" w:rsidRDefault="00A32AF8" w:rsidP="009226A7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1C3381">
        <w:rPr>
          <w:sz w:val="24"/>
          <w:szCs w:val="24"/>
        </w:rPr>
        <w:t>2.1. Цель – выявление и поддержка обучающихся образовательных организаций высшего образования Российской Федерации, имеющих особые достижения в области науки, творчества, спорта, журналистики, молодежной политики, студенческого лидерства, общественной деятельности и добровольчества.</w:t>
      </w:r>
    </w:p>
    <w:p w:rsidR="00A32AF8" w:rsidRPr="001C3381" w:rsidRDefault="00A32AF8" w:rsidP="009226A7">
      <w:pPr>
        <w:widowControl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C3381">
        <w:rPr>
          <w:sz w:val="24"/>
          <w:szCs w:val="24"/>
        </w:rPr>
        <w:t>2.2. Задачи:</w:t>
      </w:r>
    </w:p>
    <w:p w:rsidR="00A32AF8" w:rsidRPr="001C3381" w:rsidRDefault="00A32AF8" w:rsidP="009226A7">
      <w:pPr>
        <w:widowControl/>
        <w:tabs>
          <w:tab w:val="left" w:pos="0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развитие социальной, интеллектуальной и творческой активности студенческой молодежи;</w:t>
      </w:r>
    </w:p>
    <w:p w:rsidR="00A32AF8" w:rsidRPr="001C3381" w:rsidRDefault="00A32AF8" w:rsidP="009226A7">
      <w:pPr>
        <w:tabs>
          <w:tab w:val="left" w:pos="0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sz w:val="24"/>
          <w:szCs w:val="24"/>
        </w:rPr>
        <w:t>создание условий для самореализации и раскрытия потенциала студенческой молодежи;</w:t>
      </w:r>
    </w:p>
    <w:p w:rsidR="00A32AF8" w:rsidRPr="001C3381" w:rsidRDefault="00A32AF8" w:rsidP="009226A7">
      <w:pPr>
        <w:tabs>
          <w:tab w:val="left" w:pos="0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sz w:val="24"/>
          <w:szCs w:val="24"/>
        </w:rPr>
        <w:lastRenderedPageBreak/>
        <w:t>формирование позитивного социального и профессионального имиджа лидеров и руководителей студенческих объединений;</w:t>
      </w:r>
    </w:p>
    <w:p w:rsidR="00A32AF8" w:rsidRPr="001C3381" w:rsidRDefault="00A32AF8" w:rsidP="009226A7">
      <w:pPr>
        <w:widowControl/>
        <w:tabs>
          <w:tab w:val="left" w:pos="0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sz w:val="24"/>
          <w:szCs w:val="24"/>
        </w:rPr>
        <w:t>укрепление межнационального и межкультурного диалога среди студентов;</w:t>
      </w:r>
    </w:p>
    <w:p w:rsidR="00A32AF8" w:rsidRDefault="00A32AF8" w:rsidP="009226A7">
      <w:pPr>
        <w:widowControl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1C3381">
        <w:rPr>
          <w:sz w:val="24"/>
          <w:szCs w:val="24"/>
        </w:rPr>
        <w:t xml:space="preserve">объединение усилий заинтересованных организаций по созданию условий развития гражданского общества, укрепления разносторонних связей между </w:t>
      </w:r>
      <w:r w:rsidRPr="001C3381">
        <w:rPr>
          <w:color w:val="000000"/>
          <w:sz w:val="24"/>
          <w:szCs w:val="24"/>
        </w:rPr>
        <w:t xml:space="preserve">образовательными организациями высшего образования </w:t>
      </w:r>
      <w:r w:rsidRPr="001C3381">
        <w:rPr>
          <w:sz w:val="24"/>
          <w:szCs w:val="24"/>
        </w:rPr>
        <w:t>субъектов Российской</w:t>
      </w:r>
      <w:r w:rsidR="00F177E8">
        <w:rPr>
          <w:sz w:val="24"/>
          <w:szCs w:val="24"/>
        </w:rPr>
        <w:t xml:space="preserve"> </w:t>
      </w:r>
      <w:r w:rsidRPr="001C3381">
        <w:rPr>
          <w:sz w:val="24"/>
          <w:szCs w:val="24"/>
        </w:rPr>
        <w:t>Федерации.</w:t>
      </w:r>
    </w:p>
    <w:p w:rsidR="009226A7" w:rsidRPr="001C3381" w:rsidRDefault="009226A7" w:rsidP="009226A7">
      <w:pPr>
        <w:widowControl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</w:p>
    <w:p w:rsidR="009226A7" w:rsidRPr="00F177E8" w:rsidRDefault="009226A7" w:rsidP="00F177E8">
      <w:pPr>
        <w:pStyle w:val="a4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177E8">
        <w:rPr>
          <w:b/>
          <w:bCs/>
          <w:sz w:val="24"/>
          <w:szCs w:val="24"/>
        </w:rPr>
        <w:t>Руководство региональным заочным этапом Премии.</w:t>
      </w:r>
    </w:p>
    <w:p w:rsidR="007D2DDE" w:rsidRPr="00F177E8" w:rsidRDefault="007D2DDE" w:rsidP="00F177E8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:rsidR="007D2DDE" w:rsidRPr="00F177E8" w:rsidRDefault="007D2DDE" w:rsidP="00F177E8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177E8">
        <w:rPr>
          <w:sz w:val="24"/>
          <w:szCs w:val="24"/>
        </w:rPr>
        <w:t xml:space="preserve">Руководство региональным заочным этапом Премии в Кемеровской области осуществляет Кемеровская региональная общественная организация «Союз Молодежи Кузбасса» (далее – оператор, Союз Молодежи Кузбасса). </w:t>
      </w:r>
    </w:p>
    <w:p w:rsidR="007D2DDE" w:rsidRPr="00F177E8" w:rsidRDefault="007D2DDE" w:rsidP="00F177E8">
      <w:pPr>
        <w:numPr>
          <w:ilvl w:val="0"/>
          <w:numId w:val="9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177E8">
        <w:rPr>
          <w:sz w:val="24"/>
          <w:szCs w:val="24"/>
        </w:rPr>
        <w:t xml:space="preserve"> Оператор регионального этапа Премии в Кемеровской области:</w:t>
      </w:r>
    </w:p>
    <w:p w:rsidR="007D2DDE" w:rsidRPr="00F177E8" w:rsidRDefault="007D2DDE" w:rsidP="00F177E8">
      <w:pPr>
        <w:spacing w:line="276" w:lineRule="auto"/>
        <w:ind w:firstLine="709"/>
        <w:jc w:val="both"/>
        <w:rPr>
          <w:bCs/>
          <w:sz w:val="24"/>
          <w:szCs w:val="24"/>
          <w:highlight w:val="yellow"/>
        </w:rPr>
      </w:pPr>
      <w:r w:rsidRPr="00F177E8">
        <w:rPr>
          <w:sz w:val="24"/>
          <w:szCs w:val="24"/>
        </w:rPr>
        <w:t xml:space="preserve"> - формирует состав экспертного </w:t>
      </w:r>
      <w:r w:rsidRPr="00F177E8">
        <w:rPr>
          <w:bCs/>
          <w:sz w:val="24"/>
          <w:szCs w:val="24"/>
        </w:rPr>
        <w:t xml:space="preserve">совета регионального заочного этапа Премии, систему оценки регионального заочного этапа Премии в Кемеровской области в соответствии с </w:t>
      </w:r>
      <w:r w:rsidRPr="00F177E8">
        <w:rPr>
          <w:sz w:val="24"/>
          <w:szCs w:val="24"/>
        </w:rPr>
        <w:t>Положением о Российской национальной премии «Студент года-201</w:t>
      </w:r>
      <w:r w:rsidR="00F177E8">
        <w:rPr>
          <w:sz w:val="24"/>
          <w:szCs w:val="24"/>
        </w:rPr>
        <w:t>9</w:t>
      </w:r>
      <w:r w:rsidRPr="00F177E8">
        <w:rPr>
          <w:sz w:val="24"/>
          <w:szCs w:val="24"/>
        </w:rPr>
        <w:t>»;</w:t>
      </w:r>
    </w:p>
    <w:p w:rsidR="007D2DDE" w:rsidRPr="00F177E8" w:rsidRDefault="007D2DDE" w:rsidP="00F177E8">
      <w:pPr>
        <w:widowControl/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F177E8">
        <w:rPr>
          <w:bCs/>
          <w:sz w:val="24"/>
          <w:szCs w:val="24"/>
        </w:rPr>
        <w:t xml:space="preserve"> - </w:t>
      </w:r>
      <w:r w:rsidRPr="00F177E8">
        <w:rPr>
          <w:sz w:val="24"/>
          <w:szCs w:val="24"/>
        </w:rPr>
        <w:t>оставляет за собой право по согласованию с экспертным советом внести изменения в номинации регионального заочного этапа Премии.</w:t>
      </w:r>
    </w:p>
    <w:p w:rsidR="00F177E8" w:rsidRDefault="00F177E8" w:rsidP="007D2DDE">
      <w:pPr>
        <w:ind w:firstLine="709"/>
        <w:jc w:val="center"/>
        <w:rPr>
          <w:b/>
          <w:sz w:val="26"/>
          <w:szCs w:val="26"/>
        </w:rPr>
      </w:pPr>
    </w:p>
    <w:p w:rsidR="007D2DDE" w:rsidRPr="00F177E8" w:rsidRDefault="007D2DDE" w:rsidP="00F177E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177E8">
        <w:rPr>
          <w:b/>
          <w:sz w:val="24"/>
          <w:szCs w:val="24"/>
        </w:rPr>
        <w:t>4. Участники регионального заочного этапа Премии.</w:t>
      </w:r>
    </w:p>
    <w:p w:rsidR="007D2DDE" w:rsidRPr="00F177E8" w:rsidRDefault="007D2DDE" w:rsidP="00F177E8">
      <w:pPr>
        <w:pStyle w:val="a8"/>
        <w:tabs>
          <w:tab w:val="left" w:pos="1134"/>
        </w:tabs>
        <w:spacing w:line="276" w:lineRule="auto"/>
        <w:ind w:firstLine="567"/>
        <w:rPr>
          <w:sz w:val="24"/>
          <w:szCs w:val="24"/>
          <w:lang w:val="ru-RU"/>
        </w:rPr>
      </w:pPr>
    </w:p>
    <w:p w:rsidR="007D2DDE" w:rsidRPr="00F177E8" w:rsidRDefault="007D2DDE" w:rsidP="00F177E8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F177E8">
        <w:rPr>
          <w:sz w:val="24"/>
          <w:szCs w:val="24"/>
        </w:rPr>
        <w:t xml:space="preserve">4.1. </w:t>
      </w:r>
      <w:r w:rsidR="00F177E8" w:rsidRPr="00F177E8">
        <w:rPr>
          <w:sz w:val="24"/>
          <w:szCs w:val="24"/>
        </w:rPr>
        <w:t xml:space="preserve">Участниками Премии являются студенты (курсанты) очной формы обучения, осваивающие образовательные программы </w:t>
      </w:r>
      <w:proofErr w:type="spellStart"/>
      <w:r w:rsidR="00F177E8" w:rsidRPr="00F177E8">
        <w:rPr>
          <w:sz w:val="24"/>
          <w:szCs w:val="24"/>
        </w:rPr>
        <w:t>бакалавриата</w:t>
      </w:r>
      <w:proofErr w:type="spellEnd"/>
      <w:r w:rsidR="00F177E8" w:rsidRPr="00F177E8">
        <w:rPr>
          <w:sz w:val="24"/>
          <w:szCs w:val="24"/>
        </w:rPr>
        <w:t xml:space="preserve">, </w:t>
      </w:r>
      <w:proofErr w:type="spellStart"/>
      <w:r w:rsidR="00F177E8" w:rsidRPr="00F177E8">
        <w:rPr>
          <w:sz w:val="24"/>
          <w:szCs w:val="24"/>
        </w:rPr>
        <w:t>специалитета</w:t>
      </w:r>
      <w:proofErr w:type="spellEnd"/>
      <w:r w:rsidR="00F177E8" w:rsidRPr="00F177E8">
        <w:rPr>
          <w:sz w:val="24"/>
          <w:szCs w:val="24"/>
        </w:rPr>
        <w:t xml:space="preserve"> или магистратуры в образовательных организациях высшего образования в возрасте от 18 до 25 лет.</w:t>
      </w:r>
      <w:r w:rsidR="00A55514" w:rsidRPr="00F177E8">
        <w:rPr>
          <w:b/>
          <w:bCs/>
          <w:sz w:val="24"/>
          <w:szCs w:val="24"/>
        </w:rPr>
        <w:t xml:space="preserve">   </w:t>
      </w:r>
    </w:p>
    <w:p w:rsidR="00EF175F" w:rsidRPr="00706F22" w:rsidRDefault="00F177E8" w:rsidP="00F177E8">
      <w:pPr>
        <w:pStyle w:val="a8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  <w:r w:rsidR="00EF175F" w:rsidRPr="001C3381">
        <w:rPr>
          <w:rFonts w:cs="Times New Roman"/>
          <w:sz w:val="24"/>
          <w:szCs w:val="24"/>
          <w:lang w:val="ru-RU"/>
        </w:rPr>
        <w:t xml:space="preserve">Каждый участник имеет право участвовать только в одной номинации Премии, </w:t>
      </w:r>
      <w:proofErr w:type="gramStart"/>
      <w:r w:rsidR="00EF175F" w:rsidRPr="001C3381">
        <w:rPr>
          <w:rFonts w:cs="Times New Roman"/>
          <w:sz w:val="24"/>
          <w:szCs w:val="24"/>
          <w:lang w:val="ru-RU"/>
        </w:rPr>
        <w:t>указанных</w:t>
      </w:r>
      <w:proofErr w:type="gramEnd"/>
      <w:r w:rsidR="00EF175F" w:rsidRPr="001C3381">
        <w:rPr>
          <w:rFonts w:cs="Times New Roman"/>
          <w:sz w:val="24"/>
          <w:szCs w:val="24"/>
          <w:lang w:val="ru-RU"/>
        </w:rPr>
        <w:t xml:space="preserve"> в п. </w:t>
      </w:r>
      <w:r w:rsidR="00706F22">
        <w:rPr>
          <w:rFonts w:cs="Times New Roman"/>
          <w:sz w:val="24"/>
          <w:szCs w:val="24"/>
          <w:lang w:val="ru-RU"/>
        </w:rPr>
        <w:t>5.1.</w:t>
      </w:r>
      <w:r w:rsidR="00EF175F" w:rsidRPr="001C3381">
        <w:rPr>
          <w:rFonts w:cs="Times New Roman"/>
          <w:sz w:val="24"/>
          <w:szCs w:val="24"/>
          <w:lang w:val="ru-RU"/>
        </w:rPr>
        <w:t xml:space="preserve"> настоящего Положения.</w:t>
      </w:r>
    </w:p>
    <w:p w:rsidR="00706F22" w:rsidRPr="001C3381" w:rsidRDefault="00706F22" w:rsidP="00706F22">
      <w:pPr>
        <w:pStyle w:val="a8"/>
        <w:tabs>
          <w:tab w:val="left" w:pos="1134"/>
        </w:tabs>
        <w:spacing w:line="276" w:lineRule="auto"/>
        <w:rPr>
          <w:rFonts w:cs="Times New Roman"/>
          <w:color w:val="auto"/>
          <w:sz w:val="24"/>
          <w:szCs w:val="24"/>
          <w:lang w:val="ru-RU"/>
        </w:rPr>
      </w:pPr>
    </w:p>
    <w:p w:rsidR="00706F22" w:rsidRPr="00706F22" w:rsidRDefault="00706F22" w:rsidP="00706F22">
      <w:pPr>
        <w:pStyle w:val="a4"/>
        <w:numPr>
          <w:ilvl w:val="0"/>
          <w:numId w:val="11"/>
        </w:numPr>
        <w:spacing w:line="276" w:lineRule="auto"/>
        <w:jc w:val="center"/>
        <w:rPr>
          <w:sz w:val="24"/>
          <w:szCs w:val="24"/>
        </w:rPr>
      </w:pPr>
      <w:r w:rsidRPr="00706F22">
        <w:rPr>
          <w:b/>
          <w:sz w:val="24"/>
          <w:szCs w:val="24"/>
        </w:rPr>
        <w:t>Номинации регионального заочного этапа.</w:t>
      </w:r>
    </w:p>
    <w:p w:rsidR="00706F22" w:rsidRPr="00706F22" w:rsidRDefault="00706F22" w:rsidP="00706F22">
      <w:pPr>
        <w:spacing w:line="276" w:lineRule="auto"/>
        <w:jc w:val="both"/>
        <w:rPr>
          <w:sz w:val="24"/>
          <w:szCs w:val="24"/>
        </w:rPr>
      </w:pPr>
    </w:p>
    <w:p w:rsidR="00AA2A69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A2A69" w:rsidRPr="001C33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AA2A69" w:rsidRPr="001C3381">
        <w:rPr>
          <w:bCs/>
          <w:sz w:val="24"/>
          <w:szCs w:val="24"/>
        </w:rPr>
        <w:t xml:space="preserve">. Номинации Премии делятся </w:t>
      </w:r>
      <w:proofErr w:type="gramStart"/>
      <w:r w:rsidR="00AA2A69" w:rsidRPr="001C3381">
        <w:rPr>
          <w:bCs/>
          <w:sz w:val="24"/>
          <w:szCs w:val="24"/>
        </w:rPr>
        <w:t>на</w:t>
      </w:r>
      <w:proofErr w:type="gramEnd"/>
      <w:r w:rsidR="00AA2A69" w:rsidRPr="001C3381">
        <w:rPr>
          <w:bCs/>
          <w:sz w:val="24"/>
          <w:szCs w:val="24"/>
        </w:rPr>
        <w:t xml:space="preserve"> индивидуальные и коллективные. </w:t>
      </w:r>
    </w:p>
    <w:p w:rsidR="00AA2A69" w:rsidRPr="00706F22" w:rsidRDefault="00AA2A69" w:rsidP="009226A7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706F22">
        <w:rPr>
          <w:b/>
          <w:bCs/>
          <w:sz w:val="24"/>
          <w:szCs w:val="24"/>
        </w:rPr>
        <w:t>Индивидуальные номинации:</w:t>
      </w:r>
    </w:p>
    <w:p w:rsidR="00036775" w:rsidRPr="001C3381" w:rsidRDefault="008B177C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Номинация 1</w:t>
      </w:r>
      <w:r w:rsidR="00036775" w:rsidRPr="001C3381">
        <w:rPr>
          <w:bCs/>
          <w:sz w:val="24"/>
          <w:szCs w:val="24"/>
        </w:rPr>
        <w:t xml:space="preserve"> – </w:t>
      </w:r>
      <w:r w:rsidR="00036775" w:rsidRPr="001C3381">
        <w:rPr>
          <w:b/>
          <w:bCs/>
          <w:sz w:val="24"/>
          <w:szCs w:val="24"/>
        </w:rPr>
        <w:t>«Председатель студенческого совета года»</w:t>
      </w:r>
      <w:r w:rsidR="00036775" w:rsidRPr="001C3381">
        <w:rPr>
          <w:bCs/>
          <w:sz w:val="24"/>
          <w:szCs w:val="24"/>
        </w:rPr>
        <w:t xml:space="preserve"> – награждаются студенты из числа руководителей </w:t>
      </w:r>
      <w:r w:rsidR="008C6A4D" w:rsidRPr="001C3381">
        <w:rPr>
          <w:bCs/>
          <w:sz w:val="24"/>
          <w:szCs w:val="24"/>
        </w:rPr>
        <w:t>объединённых советов</w:t>
      </w:r>
      <w:r w:rsidR="00706F22">
        <w:rPr>
          <w:bCs/>
          <w:sz w:val="24"/>
          <w:szCs w:val="24"/>
        </w:rPr>
        <w:t xml:space="preserve"> </w:t>
      </w:r>
      <w:r w:rsidR="00036775" w:rsidRPr="001C3381">
        <w:rPr>
          <w:bCs/>
          <w:sz w:val="24"/>
          <w:szCs w:val="24"/>
        </w:rPr>
        <w:t xml:space="preserve">обучающихся (студенческих советов), 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036775" w:rsidRPr="00706F22" w:rsidRDefault="00036775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руководитель объединённого совета </w:t>
      </w:r>
      <w:proofErr w:type="gramStart"/>
      <w:r w:rsidRPr="001C3381">
        <w:rPr>
          <w:bCs/>
          <w:sz w:val="24"/>
          <w:szCs w:val="24"/>
        </w:rPr>
        <w:t>обучающихся</w:t>
      </w:r>
      <w:proofErr w:type="gramEnd"/>
      <w:r w:rsidRPr="001C3381">
        <w:rPr>
          <w:bCs/>
          <w:sz w:val="24"/>
          <w:szCs w:val="24"/>
        </w:rPr>
        <w:t xml:space="preserve"> (студенческого совета);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 в сфере студенческого самоуправления; 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 студенческом совете, протоколы заседаний, планы работ и др.);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lastRenderedPageBreak/>
        <w:t>наличие технологий и системы работы в студенческой среде;</w:t>
      </w:r>
    </w:p>
    <w:p w:rsidR="00036775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успешных практик защиты прав и интересов студентов.</w:t>
      </w: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Номинация 2 - </w:t>
      </w:r>
      <w:r w:rsidRPr="001C3381">
        <w:rPr>
          <w:b/>
          <w:bCs/>
          <w:sz w:val="24"/>
          <w:szCs w:val="24"/>
        </w:rPr>
        <w:t>«Общественник года»</w:t>
      </w:r>
      <w:r w:rsidRPr="001C3381">
        <w:rPr>
          <w:bCs/>
          <w:sz w:val="24"/>
          <w:szCs w:val="24"/>
        </w:rPr>
        <w:t xml:space="preserve"> –</w:t>
      </w:r>
      <w:r w:rsidR="00706F22">
        <w:rPr>
          <w:bCs/>
          <w:sz w:val="24"/>
          <w:szCs w:val="24"/>
        </w:rPr>
        <w:t xml:space="preserve"> </w:t>
      </w:r>
      <w:r w:rsidRPr="001C3381">
        <w:rPr>
          <w:bCs/>
          <w:sz w:val="24"/>
          <w:szCs w:val="24"/>
        </w:rPr>
        <w:t xml:space="preserve">награждаются студенты из числа руководителей студенческих клубов и объединений, членов и </w:t>
      </w:r>
      <w:proofErr w:type="gramStart"/>
      <w:r w:rsidRPr="001C3381">
        <w:rPr>
          <w:bCs/>
          <w:sz w:val="24"/>
          <w:szCs w:val="24"/>
        </w:rPr>
        <w:t>руководителей</w:t>
      </w:r>
      <w:proofErr w:type="gramEnd"/>
      <w:r w:rsidRPr="001C3381">
        <w:rPr>
          <w:bCs/>
          <w:sz w:val="24"/>
          <w:szCs w:val="24"/>
        </w:rPr>
        <w:t xml:space="preserve"> региональных и всероссийских общественных организаций, являющиеся организаторами мероприятий различного уровня, наиболее эффективно работающие в сфере молодежной политики и студенческого самоуправления на уровнях образовательной организации, города, региона, страны, внесшие значимый вклад в улучшение качества жизни студенчества и местного сообщества и в формирование и развитие активной социальной и гражданской позиции молодежи образовательной организации и за ее пределами. </w:t>
      </w:r>
    </w:p>
    <w:p w:rsidR="003A55AE" w:rsidRPr="00706F22" w:rsidRDefault="003A55AE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руководитель студенческого объединения/общественной организации;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собственных достижений в общественной деятельности;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организатор мероприятий образовательной организации, регионального, федерального и международного уровней;</w:t>
      </w:r>
    </w:p>
    <w:p w:rsidR="003A55AE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реализованного/реализуемого социально-значимого проекта. </w:t>
      </w: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Номинация 3 – </w:t>
      </w:r>
      <w:r w:rsidRPr="001C3381">
        <w:rPr>
          <w:b/>
          <w:bCs/>
          <w:sz w:val="24"/>
          <w:szCs w:val="24"/>
        </w:rPr>
        <w:t>«Староста года»</w:t>
      </w:r>
      <w:r w:rsidRPr="001C3381">
        <w:rPr>
          <w:bCs/>
          <w:sz w:val="24"/>
          <w:szCs w:val="24"/>
        </w:rPr>
        <w:t xml:space="preserve"> – награждаются студенты, наиболее активно проявившие себя в развитии студенческого самоуправления в сфере учебной деятельности, а также имеющие наиболее значимые и выдающиеся достижения в других сферах студенческой деятельности.</w:t>
      </w:r>
    </w:p>
    <w:p w:rsidR="003A55AE" w:rsidRPr="00706F22" w:rsidRDefault="003A55AE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староста академической группы;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достижений в научно-исследовательской деятельности, культурно-массовых и спортивных мероприятиях, общественной деятельности;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характеристики из деканата образовательной организации;</w:t>
      </w:r>
    </w:p>
    <w:p w:rsidR="003A55AE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видеоролика, раскрывающего тему «Я – Староста года» (длительность не более 1 минуты).</w:t>
      </w: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4E3ADC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Номинация 4</w:t>
      </w:r>
      <w:r w:rsidR="004E3ADC" w:rsidRPr="001C3381">
        <w:rPr>
          <w:bCs/>
          <w:sz w:val="24"/>
          <w:szCs w:val="24"/>
        </w:rPr>
        <w:t xml:space="preserve"> – </w:t>
      </w:r>
      <w:r w:rsidR="004E3ADC" w:rsidRPr="001C3381">
        <w:rPr>
          <w:b/>
          <w:bCs/>
          <w:sz w:val="24"/>
          <w:szCs w:val="24"/>
        </w:rPr>
        <w:t>«Интеллект года»</w:t>
      </w:r>
      <w:r w:rsidR="004E3ADC" w:rsidRPr="001C3381">
        <w:rPr>
          <w:bCs/>
          <w:sz w:val="24"/>
          <w:szCs w:val="24"/>
        </w:rPr>
        <w:t xml:space="preserve"> – награждаются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образовательной организации и за её пределами. </w:t>
      </w:r>
    </w:p>
    <w:p w:rsidR="004E3ADC" w:rsidRPr="00706F22" w:rsidRDefault="004E3ADC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4E3ADC" w:rsidRPr="001C3381" w:rsidRDefault="004E3ADC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4E3ADC" w:rsidRPr="001C3381" w:rsidRDefault="004E3ADC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достижений в научно-исследовательской деятельности;</w:t>
      </w:r>
    </w:p>
    <w:p w:rsidR="004E3ADC" w:rsidRDefault="004E3ADC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научных публикаций.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036775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lastRenderedPageBreak/>
        <w:t>Номинация 5</w:t>
      </w:r>
      <w:r w:rsidR="00036775" w:rsidRPr="001C3381">
        <w:rPr>
          <w:bCs/>
          <w:sz w:val="24"/>
          <w:szCs w:val="24"/>
        </w:rPr>
        <w:t xml:space="preserve"> – </w:t>
      </w:r>
      <w:r w:rsidR="00036775" w:rsidRPr="001C3381">
        <w:rPr>
          <w:b/>
          <w:bCs/>
          <w:sz w:val="24"/>
          <w:szCs w:val="24"/>
        </w:rPr>
        <w:t>«Иностранный студент года»</w:t>
      </w:r>
      <w:r w:rsidR="00036775" w:rsidRPr="001C3381">
        <w:rPr>
          <w:bCs/>
          <w:sz w:val="24"/>
          <w:szCs w:val="24"/>
        </w:rPr>
        <w:t xml:space="preserve"> – награждаются студенты, имеющие иностранное гражданство, за выдающиеся достижения в различных направлениях научно-исследовательской деятельности, культурно-массовых и спортивных студенческих мероприятиях, общественной деятельности, наиболее активно проявившие себя в студенческой жизни образовательной организации, города, на региональном или федеральном уровнях, внесшие значимый вклад в улучшение среды общения и обучения иностранных студентов и молодежной жизни в целом.</w:t>
      </w:r>
      <w:proofErr w:type="gramEnd"/>
    </w:p>
    <w:p w:rsidR="00036775" w:rsidRPr="00706F22" w:rsidRDefault="00036775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036775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036775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участие и организация мероприятий для иностранных студентов городского, регионального и федерального уровней.</w:t>
      </w: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FC0A30" w:rsidRPr="001C3381" w:rsidRDefault="0003677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</w:t>
      </w:r>
      <w:r w:rsidR="003A55AE" w:rsidRPr="001C3381">
        <w:rPr>
          <w:bCs/>
          <w:sz w:val="24"/>
          <w:szCs w:val="24"/>
        </w:rPr>
        <w:t>6</w:t>
      </w:r>
      <w:r w:rsidR="00FC0A30" w:rsidRPr="001C3381">
        <w:rPr>
          <w:bCs/>
          <w:sz w:val="24"/>
          <w:szCs w:val="24"/>
        </w:rPr>
        <w:t xml:space="preserve"> – </w:t>
      </w:r>
      <w:r w:rsidR="00FC0A30" w:rsidRPr="001C3381">
        <w:rPr>
          <w:b/>
          <w:bCs/>
          <w:sz w:val="24"/>
          <w:szCs w:val="24"/>
        </w:rPr>
        <w:t>«</w:t>
      </w:r>
      <w:r w:rsidRPr="001C3381">
        <w:rPr>
          <w:b/>
          <w:bCs/>
          <w:sz w:val="24"/>
          <w:szCs w:val="24"/>
        </w:rPr>
        <w:t>Творческая личность</w:t>
      </w:r>
      <w:r w:rsidR="00FC0A30" w:rsidRPr="001C3381">
        <w:rPr>
          <w:b/>
          <w:bCs/>
          <w:sz w:val="24"/>
          <w:szCs w:val="24"/>
        </w:rPr>
        <w:t xml:space="preserve"> года»</w:t>
      </w:r>
      <w:r w:rsidRPr="001C3381">
        <w:rPr>
          <w:bCs/>
          <w:sz w:val="24"/>
          <w:szCs w:val="24"/>
        </w:rPr>
        <w:t xml:space="preserve"> - награждаются студенты</w:t>
      </w:r>
      <w:r w:rsidR="00706F22">
        <w:rPr>
          <w:bCs/>
          <w:sz w:val="24"/>
          <w:szCs w:val="24"/>
        </w:rPr>
        <w:t xml:space="preserve"> </w:t>
      </w:r>
      <w:r w:rsidRPr="001C3381">
        <w:rPr>
          <w:bCs/>
          <w:sz w:val="24"/>
          <w:szCs w:val="24"/>
        </w:rPr>
        <w:t xml:space="preserve">за выдающиеся достижения в области культуры и искусства, </w:t>
      </w:r>
      <w:r w:rsidR="00846B54" w:rsidRPr="001C3381">
        <w:rPr>
          <w:bCs/>
          <w:sz w:val="24"/>
          <w:szCs w:val="24"/>
        </w:rPr>
        <w:t xml:space="preserve">победители, </w:t>
      </w:r>
      <w:r w:rsidR="008A1426" w:rsidRPr="001C3381">
        <w:rPr>
          <w:bCs/>
          <w:sz w:val="24"/>
          <w:szCs w:val="24"/>
        </w:rPr>
        <w:t xml:space="preserve">призёры и участники творческих мероприятий и конкурсов, </w:t>
      </w:r>
      <w:r w:rsidRPr="001C3381">
        <w:rPr>
          <w:bCs/>
          <w:sz w:val="24"/>
          <w:szCs w:val="24"/>
        </w:rPr>
        <w:t xml:space="preserve">ведущие активную творческую деятельность на базе образовательной организации, </w:t>
      </w:r>
      <w:r w:rsidR="00FC0A30" w:rsidRPr="001C3381">
        <w:rPr>
          <w:bCs/>
          <w:sz w:val="24"/>
          <w:szCs w:val="24"/>
        </w:rPr>
        <w:t>внесшие значительны</w:t>
      </w:r>
      <w:r w:rsidRPr="001C3381">
        <w:rPr>
          <w:bCs/>
          <w:sz w:val="24"/>
          <w:szCs w:val="24"/>
        </w:rPr>
        <w:t>й вклад в развитие студенческого творчества в образовательной организации, на региональном и федеральном уровнях.</w:t>
      </w:r>
      <w:proofErr w:type="gramEnd"/>
    </w:p>
    <w:p w:rsidR="00FC0A30" w:rsidRPr="00706F22" w:rsidRDefault="00FC0A30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</w:t>
      </w:r>
      <w:r w:rsidR="00036775" w:rsidRPr="001C3381">
        <w:rPr>
          <w:bCs/>
          <w:sz w:val="24"/>
          <w:szCs w:val="24"/>
        </w:rPr>
        <w:t>й книжке за 2 последних семестра</w:t>
      </w:r>
      <w:r w:rsidRPr="001C3381">
        <w:rPr>
          <w:bCs/>
          <w:sz w:val="24"/>
          <w:szCs w:val="24"/>
        </w:rPr>
        <w:t>);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участник/руководитель творческого объединения/коллектива;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достижений и побед в творческих конкурсах и фестивалях;</w:t>
      </w:r>
    </w:p>
    <w:p w:rsidR="00FC0A30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 в сфере культуры и искусства на уровнях образовательной организации, региональном и федеральном.</w:t>
      </w:r>
    </w:p>
    <w:p w:rsidR="00706F22" w:rsidRPr="001C3381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</w:t>
      </w:r>
      <w:r w:rsidR="003A55AE" w:rsidRPr="001C3381">
        <w:rPr>
          <w:bCs/>
          <w:sz w:val="24"/>
          <w:szCs w:val="24"/>
        </w:rPr>
        <w:t>7</w:t>
      </w:r>
      <w:r w:rsidRPr="001C3381">
        <w:rPr>
          <w:bCs/>
          <w:sz w:val="24"/>
          <w:szCs w:val="24"/>
        </w:rPr>
        <w:t xml:space="preserve"> – </w:t>
      </w:r>
      <w:r w:rsidRPr="001C3381">
        <w:rPr>
          <w:b/>
          <w:bCs/>
          <w:sz w:val="24"/>
          <w:szCs w:val="24"/>
        </w:rPr>
        <w:t>«Спортсмен года»</w:t>
      </w:r>
      <w:r w:rsidRPr="001C3381">
        <w:rPr>
          <w:bCs/>
          <w:sz w:val="24"/>
          <w:szCs w:val="24"/>
        </w:rPr>
        <w:t xml:space="preserve"> - награждаются студенты</w:t>
      </w:r>
      <w:r w:rsidR="008A1426" w:rsidRPr="001C3381">
        <w:rPr>
          <w:bCs/>
          <w:sz w:val="24"/>
          <w:szCs w:val="24"/>
        </w:rPr>
        <w:t xml:space="preserve"> за выдающиеся достижения в области спорта и физической культуры, </w:t>
      </w:r>
      <w:r w:rsidRPr="001C3381">
        <w:rPr>
          <w:bCs/>
          <w:sz w:val="24"/>
          <w:szCs w:val="24"/>
        </w:rPr>
        <w:t>победители, призёры и участники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</w:t>
      </w:r>
      <w:r w:rsidR="005C396A" w:rsidRPr="001C3381">
        <w:rPr>
          <w:bCs/>
          <w:sz w:val="24"/>
          <w:szCs w:val="24"/>
        </w:rPr>
        <w:t xml:space="preserve"> на уровнях образовательной организации, региональном и федеральном.</w:t>
      </w:r>
      <w:proofErr w:type="gramEnd"/>
    </w:p>
    <w:p w:rsidR="00FC0A30" w:rsidRPr="00706F22" w:rsidRDefault="00FC0A30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высокий уровень успеваемости (отсутствие академической задолженности, только оценки «хорошо» и «отлично» в зачетной книжке за 2 последних семестра);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официальных спортивных достижений, спортивных наград и званий;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 в сфере спорта и физической культуры на уровнях образовательной организации, региональном и федеральном;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участие в мероприятиях по популяризации здорового образа жизни среди молодежи в субъектах Российской Федерации.</w:t>
      </w:r>
    </w:p>
    <w:p w:rsidR="00706F22" w:rsidRDefault="00706F22" w:rsidP="009226A7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FC0A30" w:rsidRPr="00706F22" w:rsidRDefault="000143F4" w:rsidP="009226A7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706F22">
        <w:rPr>
          <w:b/>
          <w:bCs/>
          <w:sz w:val="24"/>
          <w:szCs w:val="24"/>
        </w:rPr>
        <w:t>Коллективные номинации: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Номинация 1 – </w:t>
      </w:r>
      <w:r w:rsidRPr="001C3381">
        <w:rPr>
          <w:b/>
          <w:bCs/>
          <w:sz w:val="24"/>
          <w:szCs w:val="24"/>
        </w:rPr>
        <w:t>«Добровольческое объединение года»</w:t>
      </w:r>
      <w:r w:rsidRPr="001C3381">
        <w:rPr>
          <w:bCs/>
          <w:sz w:val="24"/>
          <w:szCs w:val="24"/>
        </w:rPr>
        <w:t xml:space="preserve"> - награждаются студенческие объединения обучающихся образовательных организаций, деятельность которых направлена на </w:t>
      </w:r>
      <w:r w:rsidRPr="001C3381">
        <w:rPr>
          <w:bCs/>
          <w:sz w:val="24"/>
          <w:szCs w:val="24"/>
        </w:rPr>
        <w:lastRenderedPageBreak/>
        <w:t>развитие массового волонтерского (доброволь</w:t>
      </w:r>
      <w:r w:rsidR="0034041D" w:rsidRPr="001C3381">
        <w:rPr>
          <w:bCs/>
          <w:sz w:val="24"/>
          <w:szCs w:val="24"/>
        </w:rPr>
        <w:t>ческ</w:t>
      </w:r>
      <w:r w:rsidRPr="001C3381">
        <w:rPr>
          <w:bCs/>
          <w:sz w:val="24"/>
          <w:szCs w:val="24"/>
        </w:rPr>
        <w:t xml:space="preserve">ого) движения, повышение его эффективности как инструмента формирования культуры молодого человека. </w:t>
      </w:r>
    </w:p>
    <w:p w:rsidR="003A55AE" w:rsidRPr="00706F22" w:rsidRDefault="003A55AE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объединении/организации, протоколы заседаний, планы работ и др.);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технологий и системы работы в студенческой среде;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A55AE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Номинация 2 – </w:t>
      </w:r>
      <w:r w:rsidR="003A55AE" w:rsidRPr="001C3381">
        <w:rPr>
          <w:b/>
          <w:bCs/>
          <w:sz w:val="24"/>
          <w:szCs w:val="24"/>
        </w:rPr>
        <w:t>«Экологическое объединение года»</w:t>
      </w:r>
      <w:r w:rsidR="003A55AE" w:rsidRPr="001C3381">
        <w:rPr>
          <w:bCs/>
          <w:sz w:val="24"/>
          <w:szCs w:val="24"/>
        </w:rPr>
        <w:t xml:space="preserve"> - награждаются студенческие объединения обучающихся образовательных организаций, деятельность которых направлена </w:t>
      </w:r>
      <w:r w:rsidR="00ED2E15" w:rsidRPr="001C3381">
        <w:rPr>
          <w:bCs/>
          <w:sz w:val="24"/>
          <w:szCs w:val="24"/>
        </w:rPr>
        <w:t xml:space="preserve">на </w:t>
      </w:r>
      <w:r w:rsidR="003A55AE" w:rsidRPr="001C3381">
        <w:rPr>
          <w:bCs/>
          <w:sz w:val="24"/>
          <w:szCs w:val="24"/>
        </w:rPr>
        <w:t>развитие массового волонтерского (доброволь</w:t>
      </w:r>
      <w:r w:rsidR="00730CE7" w:rsidRPr="001C3381">
        <w:rPr>
          <w:bCs/>
          <w:sz w:val="24"/>
          <w:szCs w:val="24"/>
        </w:rPr>
        <w:t>ческ</w:t>
      </w:r>
      <w:r w:rsidR="003A55AE" w:rsidRPr="001C3381">
        <w:rPr>
          <w:bCs/>
          <w:sz w:val="24"/>
          <w:szCs w:val="24"/>
        </w:rPr>
        <w:t xml:space="preserve">ого) экологического движения, повышение его эффективности как инструмента формирования экологической культуры молодого человека. </w:t>
      </w:r>
    </w:p>
    <w:p w:rsidR="003A55AE" w:rsidRPr="00706F22" w:rsidRDefault="003A55AE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3A55AE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технологий и системы работы</w:t>
      </w:r>
      <w:bookmarkStart w:id="0" w:name="_GoBack"/>
      <w:bookmarkEnd w:id="0"/>
      <w:r w:rsidRPr="001C3381">
        <w:rPr>
          <w:bCs/>
          <w:sz w:val="24"/>
          <w:szCs w:val="24"/>
        </w:rPr>
        <w:t xml:space="preserve"> в студенческой среде;</w:t>
      </w:r>
    </w:p>
    <w:p w:rsidR="00FC0A30" w:rsidRPr="001C3381" w:rsidRDefault="003A55AE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3 – </w:t>
      </w:r>
      <w:r w:rsidR="00EC434F" w:rsidRPr="001C3381">
        <w:rPr>
          <w:b/>
          <w:bCs/>
          <w:sz w:val="24"/>
          <w:szCs w:val="24"/>
        </w:rPr>
        <w:t>«Творческ</w:t>
      </w:r>
      <w:r w:rsidR="00B74B65" w:rsidRPr="001C3381">
        <w:rPr>
          <w:b/>
          <w:bCs/>
          <w:sz w:val="24"/>
          <w:szCs w:val="24"/>
        </w:rPr>
        <w:t xml:space="preserve">ий клуб </w:t>
      </w:r>
      <w:r w:rsidRPr="001C3381">
        <w:rPr>
          <w:b/>
          <w:bCs/>
          <w:sz w:val="24"/>
          <w:szCs w:val="24"/>
        </w:rPr>
        <w:t>года»</w:t>
      </w:r>
      <w:r w:rsidRPr="001C3381">
        <w:rPr>
          <w:bCs/>
          <w:sz w:val="24"/>
          <w:szCs w:val="24"/>
        </w:rPr>
        <w:t xml:space="preserve"> - </w:t>
      </w:r>
      <w:r w:rsidR="00EC434F" w:rsidRPr="001C3381">
        <w:rPr>
          <w:bCs/>
          <w:sz w:val="24"/>
          <w:szCs w:val="24"/>
        </w:rPr>
        <w:t xml:space="preserve">награждаются студенческие творческие клубы, </w:t>
      </w:r>
      <w:r w:rsidRPr="001C3381">
        <w:rPr>
          <w:bCs/>
          <w:sz w:val="24"/>
          <w:szCs w:val="24"/>
        </w:rPr>
        <w:t>объединения</w:t>
      </w:r>
      <w:r w:rsidR="00EC434F" w:rsidRPr="001C3381">
        <w:rPr>
          <w:bCs/>
          <w:sz w:val="24"/>
          <w:szCs w:val="24"/>
        </w:rPr>
        <w:t xml:space="preserve"> и коллективы</w:t>
      </w:r>
      <w:r w:rsidRPr="001C3381">
        <w:rPr>
          <w:bCs/>
          <w:sz w:val="24"/>
          <w:szCs w:val="24"/>
        </w:rPr>
        <w:t xml:space="preserve"> обучающихся образовательных организаций, ведущие активную деятельность в сфере культуры на уровне образовательной организации высшего образования в студенческой среде, наиболее активно проявившие себя в работе со студенчеством своей образовательной организации, включающие участников и победителей творческих конкурсов (музыкальных, танцевальных, театральных, изобразительного искусства и т.д.) и фестивалей регионального, всероссийского и</w:t>
      </w:r>
      <w:proofErr w:type="gramEnd"/>
      <w:r w:rsidRPr="001C3381">
        <w:rPr>
          <w:bCs/>
          <w:sz w:val="24"/>
          <w:szCs w:val="24"/>
        </w:rPr>
        <w:t xml:space="preserve"> </w:t>
      </w:r>
      <w:proofErr w:type="gramStart"/>
      <w:r w:rsidRPr="001C3381">
        <w:rPr>
          <w:bCs/>
          <w:sz w:val="24"/>
          <w:szCs w:val="24"/>
        </w:rPr>
        <w:t xml:space="preserve">международного уровней, внесшие значительный вклад в развитие </w:t>
      </w:r>
      <w:r w:rsidR="00EC434F" w:rsidRPr="001C3381">
        <w:rPr>
          <w:bCs/>
          <w:sz w:val="24"/>
          <w:szCs w:val="24"/>
        </w:rPr>
        <w:t>студенческого творчества в молодежной среде.</w:t>
      </w:r>
      <w:proofErr w:type="gramEnd"/>
    </w:p>
    <w:p w:rsidR="00FC0A30" w:rsidRPr="00706F22" w:rsidRDefault="00FC0A30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технологий и системы работы в студенческой среде;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проектов;</w:t>
      </w:r>
    </w:p>
    <w:p w:rsidR="00FC0A30" w:rsidRPr="001C3381" w:rsidRDefault="00FC0A30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участники или организаторы творческих конкурсов и мероприятий образовательной организации, регионального, федерального и международного уровней.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4 – </w:t>
      </w:r>
      <w:r w:rsidRPr="001C3381">
        <w:rPr>
          <w:b/>
          <w:bCs/>
          <w:sz w:val="24"/>
          <w:szCs w:val="24"/>
        </w:rPr>
        <w:t>«</w:t>
      </w:r>
      <w:proofErr w:type="spellStart"/>
      <w:r w:rsidR="00563755" w:rsidRPr="001C3381">
        <w:rPr>
          <w:b/>
          <w:bCs/>
          <w:sz w:val="24"/>
          <w:szCs w:val="24"/>
        </w:rPr>
        <w:t>К</w:t>
      </w:r>
      <w:r w:rsidRPr="001C3381">
        <w:rPr>
          <w:b/>
          <w:bCs/>
          <w:sz w:val="24"/>
          <w:szCs w:val="24"/>
        </w:rPr>
        <w:t>иберспортивный</w:t>
      </w:r>
      <w:proofErr w:type="spellEnd"/>
      <w:r w:rsidRPr="001C3381">
        <w:rPr>
          <w:b/>
          <w:bCs/>
          <w:sz w:val="24"/>
          <w:szCs w:val="24"/>
        </w:rPr>
        <w:t xml:space="preserve"> клуб года»</w:t>
      </w:r>
      <w:r w:rsidRPr="001C3381">
        <w:rPr>
          <w:bCs/>
          <w:sz w:val="24"/>
          <w:szCs w:val="24"/>
        </w:rPr>
        <w:t xml:space="preserve"> - награждаются студенческие клубы и другие объединения обучающихся образовательных организаций, ведущие деятельность в сфере компьютерного спорта на уровне образовательной организации высшего образования в студенческой среде, наиболее активно проявившие себя в работе со студенчеством своей образовательной организации по направлениям – повышение образовательного уровня молодежи с помощью компьютерного спорта для освоения новейших информационных и компьютерных технологий, профессиональная подготовка молодежи</w:t>
      </w:r>
      <w:proofErr w:type="gramEnd"/>
      <w:r w:rsidRPr="001C3381">
        <w:rPr>
          <w:bCs/>
          <w:sz w:val="24"/>
          <w:szCs w:val="24"/>
        </w:rPr>
        <w:t xml:space="preserve"> через участие в </w:t>
      </w:r>
      <w:r w:rsidRPr="001C3381">
        <w:rPr>
          <w:bCs/>
          <w:sz w:val="24"/>
          <w:szCs w:val="24"/>
        </w:rPr>
        <w:lastRenderedPageBreak/>
        <w:t xml:space="preserve">соревнованиях по компьютерному спорту. Разработка и продвижение </w:t>
      </w:r>
      <w:proofErr w:type="spellStart"/>
      <w:r w:rsidRPr="001C3381">
        <w:rPr>
          <w:bCs/>
          <w:sz w:val="24"/>
          <w:szCs w:val="24"/>
        </w:rPr>
        <w:t>высококонкурентных</w:t>
      </w:r>
      <w:proofErr w:type="spellEnd"/>
      <w:r w:rsidRPr="001C3381">
        <w:rPr>
          <w:bCs/>
          <w:sz w:val="24"/>
          <w:szCs w:val="24"/>
        </w:rPr>
        <w:t xml:space="preserve"> отечественных компьютерных игр и иных средств компьютерного спорта.</w:t>
      </w:r>
    </w:p>
    <w:p w:rsidR="00395C18" w:rsidRPr="00706F22" w:rsidRDefault="00395C18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технологий и системы работы в студенческой среде;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проектов;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участники или организаторы конкурсов и мероприятий образовательной организации, регионального, федерального и международного уровней по компьютерному спорту.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5 – </w:t>
      </w:r>
      <w:r w:rsidRPr="001C3381">
        <w:rPr>
          <w:b/>
          <w:bCs/>
          <w:sz w:val="24"/>
          <w:szCs w:val="24"/>
        </w:rPr>
        <w:t>«</w:t>
      </w:r>
      <w:r w:rsidR="00B74B65" w:rsidRPr="001C3381">
        <w:rPr>
          <w:b/>
          <w:bCs/>
          <w:sz w:val="24"/>
          <w:szCs w:val="24"/>
        </w:rPr>
        <w:t>Ю</w:t>
      </w:r>
      <w:r w:rsidRPr="001C3381">
        <w:rPr>
          <w:b/>
          <w:bCs/>
          <w:sz w:val="24"/>
          <w:szCs w:val="24"/>
        </w:rPr>
        <w:t>ридическая клиника</w:t>
      </w:r>
      <w:r w:rsidR="00B74B65" w:rsidRPr="001C3381">
        <w:rPr>
          <w:b/>
          <w:bCs/>
          <w:sz w:val="24"/>
          <w:szCs w:val="24"/>
        </w:rPr>
        <w:t xml:space="preserve"> года</w:t>
      </w:r>
      <w:r w:rsidRPr="001C3381">
        <w:rPr>
          <w:b/>
          <w:bCs/>
          <w:sz w:val="24"/>
          <w:szCs w:val="24"/>
        </w:rPr>
        <w:t>»</w:t>
      </w:r>
      <w:r w:rsidRPr="001C3381">
        <w:rPr>
          <w:bCs/>
          <w:sz w:val="24"/>
          <w:szCs w:val="24"/>
        </w:rPr>
        <w:t xml:space="preserve"> - награждаются студенческие объединения обучающихся образовательных организаций, ведущие деятельность в сфере организации бесплатной правовой помощи и правового просвещения населения, воспитание профессиональной о</w:t>
      </w:r>
      <w:r w:rsidR="008C79A6" w:rsidRPr="001C3381">
        <w:rPr>
          <w:bCs/>
          <w:sz w:val="24"/>
          <w:szCs w:val="24"/>
        </w:rPr>
        <w:t>тветственности у обучающихся на юридическом направлении</w:t>
      </w:r>
      <w:r w:rsidRPr="001C3381">
        <w:rPr>
          <w:bCs/>
          <w:sz w:val="24"/>
          <w:szCs w:val="24"/>
        </w:rPr>
        <w:t xml:space="preserve">, формирование у них практических навыков оказания юридической помощи. </w:t>
      </w:r>
      <w:proofErr w:type="gramEnd"/>
    </w:p>
    <w:p w:rsidR="00395C18" w:rsidRPr="00706F22" w:rsidRDefault="00395C18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>Обязательные условия участия в номинации: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технологий и системы работы в сфере организации правовой помощи. </w:t>
      </w:r>
    </w:p>
    <w:p w:rsidR="00395C18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 в сфере правового просвещения населения.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265319" w:rsidRPr="001C3381" w:rsidRDefault="00395C18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</w:t>
      </w:r>
      <w:r w:rsidR="00265319" w:rsidRPr="001C3381">
        <w:rPr>
          <w:bCs/>
          <w:sz w:val="24"/>
          <w:szCs w:val="24"/>
        </w:rPr>
        <w:t xml:space="preserve">6 </w:t>
      </w:r>
      <w:r w:rsidRPr="001C3381">
        <w:rPr>
          <w:bCs/>
          <w:sz w:val="24"/>
          <w:szCs w:val="24"/>
        </w:rPr>
        <w:t xml:space="preserve">– </w:t>
      </w:r>
      <w:r w:rsidRPr="001C3381">
        <w:rPr>
          <w:b/>
          <w:bCs/>
          <w:sz w:val="24"/>
          <w:szCs w:val="24"/>
        </w:rPr>
        <w:t>«Комис</w:t>
      </w:r>
      <w:r w:rsidR="00EB392D" w:rsidRPr="001C3381">
        <w:rPr>
          <w:b/>
          <w:bCs/>
          <w:sz w:val="24"/>
          <w:szCs w:val="24"/>
        </w:rPr>
        <w:t>сия по качеству образования года</w:t>
      </w:r>
      <w:r w:rsidRPr="001C3381">
        <w:rPr>
          <w:b/>
          <w:bCs/>
          <w:sz w:val="24"/>
          <w:szCs w:val="24"/>
        </w:rPr>
        <w:t>»</w:t>
      </w:r>
      <w:r w:rsidRPr="001C3381">
        <w:rPr>
          <w:bCs/>
          <w:sz w:val="24"/>
          <w:szCs w:val="24"/>
        </w:rPr>
        <w:t xml:space="preserve"> - </w:t>
      </w:r>
      <w:r w:rsidR="00265319" w:rsidRPr="001C3381">
        <w:rPr>
          <w:bCs/>
          <w:sz w:val="24"/>
          <w:szCs w:val="24"/>
        </w:rPr>
        <w:t>награждаются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</w:t>
      </w:r>
      <w:r w:rsidR="00B74B65" w:rsidRPr="001C3381">
        <w:rPr>
          <w:bCs/>
          <w:sz w:val="24"/>
          <w:szCs w:val="24"/>
        </w:rPr>
        <w:t xml:space="preserve"> (комисси</w:t>
      </w:r>
      <w:r w:rsidR="009D0DD0" w:rsidRPr="001C3381">
        <w:rPr>
          <w:bCs/>
          <w:sz w:val="24"/>
          <w:szCs w:val="24"/>
        </w:rPr>
        <w:t>я</w:t>
      </w:r>
      <w:r w:rsidR="00B74B65" w:rsidRPr="001C3381">
        <w:rPr>
          <w:bCs/>
          <w:sz w:val="24"/>
          <w:szCs w:val="24"/>
        </w:rPr>
        <w:t xml:space="preserve"> по качеству образования, </w:t>
      </w:r>
      <w:proofErr w:type="spellStart"/>
      <w:r w:rsidR="00B74B65" w:rsidRPr="001C3381">
        <w:rPr>
          <w:bCs/>
          <w:sz w:val="24"/>
          <w:szCs w:val="24"/>
        </w:rPr>
        <w:t>корпусобщественных</w:t>
      </w:r>
      <w:proofErr w:type="spellEnd"/>
      <w:r w:rsidR="00B74B65" w:rsidRPr="001C3381">
        <w:rPr>
          <w:bCs/>
          <w:sz w:val="24"/>
          <w:szCs w:val="24"/>
        </w:rPr>
        <w:t xml:space="preserve"> наблюдателей и прочие объединения)</w:t>
      </w:r>
      <w:r w:rsidR="00265319" w:rsidRPr="001C3381">
        <w:rPr>
          <w:bCs/>
          <w:sz w:val="24"/>
          <w:szCs w:val="24"/>
        </w:rPr>
        <w:t>, внесшие значительный вклад в развитие комиссий по качеству образования, систем общественного наблюдения образовательных процессов, системы участия обучающихся во внутренней и внешней оценке качества условий и</w:t>
      </w:r>
      <w:proofErr w:type="gramEnd"/>
      <w:r w:rsidR="00265319" w:rsidRPr="001C3381">
        <w:rPr>
          <w:bCs/>
          <w:sz w:val="24"/>
          <w:szCs w:val="24"/>
        </w:rPr>
        <w:t xml:space="preserve"> содержания обучения на всех этапах получаемого образования, в т.ч. школьного.</w:t>
      </w:r>
    </w:p>
    <w:p w:rsidR="00265319" w:rsidRPr="00706F22" w:rsidRDefault="00265319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>Обязательные условия участия в номинации: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опыта и успешных практик по работе со студентами; 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 xml:space="preserve">наличие технологий и системы работы в сфере организации правовой помощи. 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реализованных/реализуемых проектов в сфере вовлечения и участия студентов в оценке качества образования на всех этапах получаемого образования, в т.ч. школьного.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B74B65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C3381">
        <w:rPr>
          <w:bCs/>
          <w:sz w:val="24"/>
          <w:szCs w:val="24"/>
        </w:rPr>
        <w:t xml:space="preserve">Номинация 7 – </w:t>
      </w:r>
      <w:r w:rsidRPr="001C3381">
        <w:rPr>
          <w:b/>
          <w:bCs/>
          <w:sz w:val="24"/>
          <w:szCs w:val="24"/>
        </w:rPr>
        <w:t xml:space="preserve">«Студенческое СМИ года» </w:t>
      </w:r>
      <w:r w:rsidRPr="001C3381">
        <w:rPr>
          <w:bCs/>
          <w:sz w:val="24"/>
          <w:szCs w:val="24"/>
        </w:rPr>
        <w:t>–</w:t>
      </w:r>
      <w:r w:rsidR="00C401DE">
        <w:rPr>
          <w:bCs/>
          <w:sz w:val="24"/>
          <w:szCs w:val="24"/>
        </w:rPr>
        <w:t xml:space="preserve"> </w:t>
      </w:r>
      <w:r w:rsidRPr="001C3381">
        <w:rPr>
          <w:bCs/>
          <w:sz w:val="24"/>
          <w:szCs w:val="24"/>
        </w:rPr>
        <w:t xml:space="preserve">награждаются </w:t>
      </w:r>
      <w:r w:rsidR="00B74B65" w:rsidRPr="001C3381">
        <w:rPr>
          <w:bCs/>
          <w:sz w:val="24"/>
          <w:szCs w:val="24"/>
        </w:rPr>
        <w:t xml:space="preserve">студенческие объединения обучающихся образовательных организаций </w:t>
      </w:r>
      <w:r w:rsidRPr="001C3381">
        <w:rPr>
          <w:bCs/>
          <w:sz w:val="24"/>
          <w:szCs w:val="24"/>
        </w:rPr>
        <w:t xml:space="preserve">за выдающиеся успехи в области молодежной журналистики и </w:t>
      </w:r>
      <w:proofErr w:type="spellStart"/>
      <w:r w:rsidRPr="001C3381">
        <w:rPr>
          <w:bCs/>
          <w:sz w:val="24"/>
          <w:szCs w:val="24"/>
        </w:rPr>
        <w:t>блогосфере</w:t>
      </w:r>
      <w:proofErr w:type="spellEnd"/>
      <w:r w:rsidRPr="001C3381">
        <w:rPr>
          <w:bCs/>
          <w:sz w:val="24"/>
          <w:szCs w:val="24"/>
        </w:rPr>
        <w:t xml:space="preserve">, регулярно освещающие студенческую жизнь и ведущие </w:t>
      </w:r>
      <w:proofErr w:type="spellStart"/>
      <w:r w:rsidRPr="001C3381">
        <w:rPr>
          <w:bCs/>
          <w:sz w:val="24"/>
          <w:szCs w:val="24"/>
        </w:rPr>
        <w:t>блог</w:t>
      </w:r>
      <w:proofErr w:type="spellEnd"/>
      <w:r w:rsidRPr="001C3381">
        <w:rPr>
          <w:bCs/>
          <w:sz w:val="24"/>
          <w:szCs w:val="24"/>
        </w:rPr>
        <w:t xml:space="preserve"> на социально-значимые темы, участники и победители конкурсов и фестивалей студенческих СМИ, постоянные участники развития </w:t>
      </w:r>
      <w:proofErr w:type="spellStart"/>
      <w:r w:rsidRPr="001C3381">
        <w:rPr>
          <w:bCs/>
          <w:sz w:val="24"/>
          <w:szCs w:val="24"/>
        </w:rPr>
        <w:t>медиапространства</w:t>
      </w:r>
      <w:proofErr w:type="spellEnd"/>
      <w:r w:rsidRPr="001C3381">
        <w:rPr>
          <w:bCs/>
          <w:sz w:val="24"/>
          <w:szCs w:val="24"/>
        </w:rPr>
        <w:t xml:space="preserve"> на уровне образовательной </w:t>
      </w:r>
      <w:r w:rsidRPr="001C3381">
        <w:rPr>
          <w:bCs/>
          <w:sz w:val="24"/>
          <w:szCs w:val="24"/>
        </w:rPr>
        <w:lastRenderedPageBreak/>
        <w:t xml:space="preserve">организации, региональном и федеральном уровнях, внесшие значимый вклад в формирование актуального </w:t>
      </w:r>
      <w:proofErr w:type="spellStart"/>
      <w:r w:rsidRPr="001C3381">
        <w:rPr>
          <w:bCs/>
          <w:sz w:val="24"/>
          <w:szCs w:val="24"/>
        </w:rPr>
        <w:t>контента</w:t>
      </w:r>
      <w:proofErr w:type="spellEnd"/>
      <w:r w:rsidRPr="001C3381">
        <w:rPr>
          <w:bCs/>
          <w:sz w:val="24"/>
          <w:szCs w:val="24"/>
        </w:rPr>
        <w:t xml:space="preserve"> и развитие информационной</w:t>
      </w:r>
      <w:proofErr w:type="gramEnd"/>
      <w:r w:rsidRPr="001C3381">
        <w:rPr>
          <w:bCs/>
          <w:sz w:val="24"/>
          <w:szCs w:val="24"/>
        </w:rPr>
        <w:t xml:space="preserve"> грамотности в молодежной среде</w:t>
      </w:r>
      <w:r w:rsidR="00B74B65" w:rsidRPr="001C3381">
        <w:rPr>
          <w:bCs/>
          <w:sz w:val="24"/>
          <w:szCs w:val="24"/>
        </w:rPr>
        <w:t xml:space="preserve">. </w:t>
      </w:r>
    </w:p>
    <w:p w:rsidR="00265319" w:rsidRPr="00706F22" w:rsidRDefault="00265319" w:rsidP="009226A7">
      <w:pPr>
        <w:spacing w:line="276" w:lineRule="auto"/>
        <w:ind w:firstLine="709"/>
        <w:jc w:val="both"/>
        <w:rPr>
          <w:bCs/>
          <w:i/>
          <w:sz w:val="24"/>
          <w:szCs w:val="24"/>
          <w:u w:val="single"/>
        </w:rPr>
      </w:pPr>
      <w:r w:rsidRPr="00706F22">
        <w:rPr>
          <w:bCs/>
          <w:i/>
          <w:sz w:val="24"/>
          <w:szCs w:val="24"/>
          <w:u w:val="single"/>
        </w:rPr>
        <w:t xml:space="preserve">Обязательные условия участия в номинации: </w:t>
      </w:r>
    </w:p>
    <w:p w:rsidR="00B74B65" w:rsidRPr="001C3381" w:rsidRDefault="00B74B65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нормативно-правовой базы (положение об организации, протоколы заседаний, планы работ и др.);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ведение журнала/передачи/газеты/</w:t>
      </w:r>
      <w:proofErr w:type="spellStart"/>
      <w:r w:rsidRPr="001C3381">
        <w:rPr>
          <w:bCs/>
          <w:sz w:val="24"/>
          <w:szCs w:val="24"/>
        </w:rPr>
        <w:t>блога</w:t>
      </w:r>
      <w:proofErr w:type="spellEnd"/>
      <w:r w:rsidRPr="001C3381">
        <w:rPr>
          <w:bCs/>
          <w:sz w:val="24"/>
          <w:szCs w:val="24"/>
        </w:rPr>
        <w:t xml:space="preserve">/канала на социально-значимые, актуальные в студенческой среде темы на платформах </w:t>
      </w:r>
      <w:proofErr w:type="spellStart"/>
      <w:r w:rsidRPr="001C3381">
        <w:rPr>
          <w:bCs/>
          <w:sz w:val="24"/>
          <w:szCs w:val="24"/>
        </w:rPr>
        <w:t>Instagram</w:t>
      </w:r>
      <w:proofErr w:type="spellEnd"/>
      <w:r w:rsidRPr="001C3381">
        <w:rPr>
          <w:bCs/>
          <w:sz w:val="24"/>
          <w:szCs w:val="24"/>
        </w:rPr>
        <w:t>/</w:t>
      </w:r>
      <w:proofErr w:type="spellStart"/>
      <w:r w:rsidRPr="001C3381">
        <w:rPr>
          <w:bCs/>
          <w:sz w:val="24"/>
          <w:szCs w:val="24"/>
        </w:rPr>
        <w:t>Twitter</w:t>
      </w:r>
      <w:proofErr w:type="spellEnd"/>
      <w:r w:rsidRPr="001C3381">
        <w:rPr>
          <w:bCs/>
          <w:sz w:val="24"/>
          <w:szCs w:val="24"/>
        </w:rPr>
        <w:t>/</w:t>
      </w:r>
      <w:proofErr w:type="spellStart"/>
      <w:r w:rsidRPr="001C3381">
        <w:rPr>
          <w:bCs/>
          <w:sz w:val="24"/>
          <w:szCs w:val="24"/>
        </w:rPr>
        <w:t>Livejournal</w:t>
      </w:r>
      <w:proofErr w:type="spellEnd"/>
      <w:r w:rsidRPr="001C3381">
        <w:rPr>
          <w:bCs/>
          <w:sz w:val="24"/>
          <w:szCs w:val="24"/>
        </w:rPr>
        <w:t>/</w:t>
      </w:r>
      <w:proofErr w:type="spellStart"/>
      <w:r w:rsidRPr="001C3381">
        <w:rPr>
          <w:bCs/>
          <w:sz w:val="24"/>
          <w:szCs w:val="24"/>
        </w:rPr>
        <w:t>Вконтакте</w:t>
      </w:r>
      <w:proofErr w:type="spellEnd"/>
      <w:r w:rsidRPr="001C3381">
        <w:rPr>
          <w:bCs/>
          <w:sz w:val="24"/>
          <w:szCs w:val="24"/>
        </w:rPr>
        <w:t>/</w:t>
      </w:r>
      <w:proofErr w:type="spellStart"/>
      <w:r w:rsidRPr="001C3381">
        <w:rPr>
          <w:bCs/>
          <w:sz w:val="24"/>
          <w:szCs w:val="24"/>
        </w:rPr>
        <w:t>Facebook</w:t>
      </w:r>
      <w:proofErr w:type="spellEnd"/>
      <w:r w:rsidRPr="001C3381">
        <w:rPr>
          <w:bCs/>
          <w:sz w:val="24"/>
          <w:szCs w:val="24"/>
        </w:rPr>
        <w:t>/</w:t>
      </w:r>
      <w:proofErr w:type="spellStart"/>
      <w:r w:rsidRPr="001C3381">
        <w:rPr>
          <w:bCs/>
          <w:sz w:val="24"/>
          <w:szCs w:val="24"/>
        </w:rPr>
        <w:t>Youtube</w:t>
      </w:r>
      <w:proofErr w:type="spellEnd"/>
      <w:r w:rsidRPr="001C3381">
        <w:rPr>
          <w:bCs/>
          <w:sz w:val="24"/>
          <w:szCs w:val="24"/>
        </w:rPr>
        <w:t xml:space="preserve"> с охватом аудитории не менее  3 000 человек;</w:t>
      </w:r>
    </w:p>
    <w:p w:rsidR="00265319" w:rsidRPr="001C3381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наличие статей, публикаций и/или видеосюжетов в СМИ образовательной организации, город</w:t>
      </w:r>
      <w:r w:rsidR="00B74B65" w:rsidRPr="001C3381">
        <w:rPr>
          <w:bCs/>
          <w:sz w:val="24"/>
          <w:szCs w:val="24"/>
        </w:rPr>
        <w:t>а</w:t>
      </w:r>
      <w:r w:rsidRPr="001C3381">
        <w:rPr>
          <w:bCs/>
          <w:sz w:val="24"/>
          <w:szCs w:val="24"/>
        </w:rPr>
        <w:t xml:space="preserve">, региона или </w:t>
      </w:r>
      <w:r w:rsidR="00B74B65" w:rsidRPr="001C3381">
        <w:rPr>
          <w:bCs/>
          <w:sz w:val="24"/>
          <w:szCs w:val="24"/>
        </w:rPr>
        <w:t>страны</w:t>
      </w:r>
      <w:r w:rsidRPr="001C3381">
        <w:rPr>
          <w:bCs/>
          <w:sz w:val="24"/>
          <w:szCs w:val="24"/>
        </w:rPr>
        <w:t>.</w:t>
      </w:r>
    </w:p>
    <w:p w:rsidR="00265319" w:rsidRDefault="00265319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3381">
        <w:rPr>
          <w:bCs/>
          <w:sz w:val="24"/>
          <w:szCs w:val="24"/>
        </w:rPr>
        <w:t>участник или организатор мероприятий образовательной организации, регионального, федерального и международного уровней в части их освещения, сопровождения.</w:t>
      </w:r>
    </w:p>
    <w:p w:rsidR="00706F22" w:rsidRDefault="00706F22" w:rsidP="009226A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20E83" w:rsidRDefault="00C401DE" w:rsidP="00D20E83">
      <w:pPr>
        <w:pStyle w:val="3"/>
        <w:numPr>
          <w:ilvl w:val="0"/>
          <w:numId w:val="11"/>
        </w:numPr>
        <w:spacing w:after="0" w:line="276" w:lineRule="auto"/>
        <w:jc w:val="center"/>
        <w:rPr>
          <w:b/>
          <w:sz w:val="24"/>
          <w:szCs w:val="24"/>
          <w:lang w:val="ru-RU"/>
        </w:rPr>
      </w:pPr>
      <w:r w:rsidRPr="00C401DE">
        <w:rPr>
          <w:b/>
          <w:sz w:val="24"/>
          <w:szCs w:val="24"/>
          <w:lang w:val="ru-RU"/>
        </w:rPr>
        <w:t xml:space="preserve">Порядок </w:t>
      </w:r>
      <w:r w:rsidR="00D20E83">
        <w:rPr>
          <w:b/>
          <w:sz w:val="24"/>
          <w:szCs w:val="24"/>
          <w:lang w:val="ru-RU"/>
        </w:rPr>
        <w:t xml:space="preserve">и сроки </w:t>
      </w:r>
      <w:r w:rsidRPr="00C401DE">
        <w:rPr>
          <w:b/>
          <w:sz w:val="24"/>
          <w:szCs w:val="24"/>
          <w:lang w:val="ru-RU"/>
        </w:rPr>
        <w:t xml:space="preserve">предоставления документов </w:t>
      </w:r>
    </w:p>
    <w:p w:rsidR="00C401DE" w:rsidRPr="00C401DE" w:rsidRDefault="00C401DE" w:rsidP="00D20E83">
      <w:pPr>
        <w:pStyle w:val="3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  <w:r w:rsidRPr="00C401DE">
        <w:rPr>
          <w:b/>
          <w:sz w:val="24"/>
          <w:szCs w:val="24"/>
          <w:lang w:val="ru-RU"/>
        </w:rPr>
        <w:t xml:space="preserve">для участия </w:t>
      </w:r>
      <w:r w:rsidR="00D20E83">
        <w:rPr>
          <w:b/>
          <w:sz w:val="24"/>
          <w:szCs w:val="24"/>
          <w:lang w:val="ru-RU"/>
        </w:rPr>
        <w:t>в</w:t>
      </w:r>
      <w:r w:rsidRPr="00C401DE">
        <w:rPr>
          <w:b/>
          <w:sz w:val="24"/>
          <w:szCs w:val="24"/>
          <w:lang w:val="ru-RU"/>
        </w:rPr>
        <w:t xml:space="preserve"> </w:t>
      </w:r>
      <w:r w:rsidR="00D20E83">
        <w:rPr>
          <w:b/>
          <w:sz w:val="24"/>
          <w:szCs w:val="24"/>
          <w:lang w:val="ru-RU"/>
        </w:rPr>
        <w:t>Р</w:t>
      </w:r>
      <w:r w:rsidRPr="00C401DE">
        <w:rPr>
          <w:b/>
          <w:sz w:val="24"/>
          <w:szCs w:val="24"/>
          <w:lang w:val="ru-RU"/>
        </w:rPr>
        <w:t>егионально</w:t>
      </w:r>
      <w:r w:rsidR="00D20E83">
        <w:rPr>
          <w:b/>
          <w:sz w:val="24"/>
          <w:szCs w:val="24"/>
          <w:lang w:val="ru-RU"/>
        </w:rPr>
        <w:t>м</w:t>
      </w:r>
      <w:r w:rsidRPr="00C401DE">
        <w:rPr>
          <w:b/>
          <w:sz w:val="24"/>
          <w:szCs w:val="24"/>
          <w:lang w:val="ru-RU"/>
        </w:rPr>
        <w:t xml:space="preserve"> заочно</w:t>
      </w:r>
      <w:r w:rsidR="00D20E83">
        <w:rPr>
          <w:b/>
          <w:sz w:val="24"/>
          <w:szCs w:val="24"/>
          <w:lang w:val="ru-RU"/>
        </w:rPr>
        <w:t>м</w:t>
      </w:r>
      <w:r w:rsidRPr="00C401DE">
        <w:rPr>
          <w:b/>
          <w:sz w:val="24"/>
          <w:szCs w:val="24"/>
          <w:lang w:val="ru-RU"/>
        </w:rPr>
        <w:t xml:space="preserve"> этап</w:t>
      </w:r>
      <w:r w:rsidR="00D20E83">
        <w:rPr>
          <w:b/>
          <w:sz w:val="24"/>
          <w:szCs w:val="24"/>
          <w:lang w:val="ru-RU"/>
        </w:rPr>
        <w:t>е</w:t>
      </w:r>
      <w:r w:rsidRPr="00C401DE">
        <w:rPr>
          <w:b/>
          <w:sz w:val="24"/>
          <w:szCs w:val="24"/>
          <w:lang w:val="ru-RU"/>
        </w:rPr>
        <w:t xml:space="preserve">  Премии в Кемеровской области.</w:t>
      </w:r>
    </w:p>
    <w:p w:rsidR="00C401DE" w:rsidRPr="00C401DE" w:rsidRDefault="00C401DE" w:rsidP="00C401DE">
      <w:pPr>
        <w:pStyle w:val="3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</w:p>
    <w:p w:rsidR="00C401DE" w:rsidRPr="00C401DE" w:rsidRDefault="00C401DE" w:rsidP="00C401DE">
      <w:pPr>
        <w:pStyle w:val="3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C401DE">
        <w:rPr>
          <w:sz w:val="24"/>
          <w:szCs w:val="24"/>
          <w:lang w:val="ru-RU"/>
        </w:rPr>
        <w:t>.1.</w:t>
      </w:r>
      <w:r w:rsidRPr="00C401DE">
        <w:rPr>
          <w:sz w:val="24"/>
          <w:szCs w:val="24"/>
        </w:rPr>
        <w:t> </w:t>
      </w:r>
      <w:r w:rsidRPr="00C401DE">
        <w:rPr>
          <w:sz w:val="24"/>
          <w:szCs w:val="24"/>
          <w:lang w:val="ru-RU"/>
        </w:rPr>
        <w:t xml:space="preserve">Для участия в региональном заочном этапе Премии участники направляют оператору регионального заочного этапа Премии (Союзу Молодежи Кузбасса) следующие документы: </w:t>
      </w:r>
    </w:p>
    <w:p w:rsidR="00C401DE" w:rsidRDefault="00C401DE" w:rsidP="00C401DE">
      <w:pPr>
        <w:pStyle w:val="3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C401DE">
        <w:rPr>
          <w:sz w:val="24"/>
          <w:szCs w:val="24"/>
          <w:lang w:val="ru-RU"/>
        </w:rPr>
        <w:t>Резюме участника</w:t>
      </w:r>
      <w:r>
        <w:rPr>
          <w:sz w:val="24"/>
          <w:szCs w:val="24"/>
          <w:lang w:val="ru-RU"/>
        </w:rPr>
        <w:t xml:space="preserve"> </w:t>
      </w:r>
      <w:r w:rsidRPr="00C401DE">
        <w:rPr>
          <w:sz w:val="24"/>
          <w:szCs w:val="24"/>
          <w:lang w:val="ru-RU"/>
        </w:rPr>
        <w:t>(в названии файла необходимо указывать фамилию участника и название документа, например:</w:t>
      </w:r>
      <w:proofErr w:type="gramEnd"/>
      <w:r w:rsidRPr="00C401DE">
        <w:rPr>
          <w:sz w:val="24"/>
          <w:szCs w:val="24"/>
          <w:lang w:val="ru-RU"/>
        </w:rPr>
        <w:t xml:space="preserve"> </w:t>
      </w:r>
      <w:proofErr w:type="gramStart"/>
      <w:r w:rsidRPr="00C401DE">
        <w:rPr>
          <w:sz w:val="24"/>
          <w:szCs w:val="24"/>
          <w:lang w:val="ru-RU"/>
        </w:rPr>
        <w:t>Иванов,  заявка)</w:t>
      </w:r>
      <w:r>
        <w:rPr>
          <w:sz w:val="24"/>
          <w:szCs w:val="24"/>
          <w:lang w:val="ru-RU"/>
        </w:rPr>
        <w:t xml:space="preserve"> </w:t>
      </w:r>
      <w:r w:rsidRPr="00C401DE">
        <w:rPr>
          <w:sz w:val="24"/>
          <w:szCs w:val="24"/>
          <w:lang w:val="ru-RU"/>
        </w:rPr>
        <w:t>(приложение № 1</w:t>
      </w:r>
      <w:r w:rsidR="00B03201">
        <w:rPr>
          <w:sz w:val="24"/>
          <w:szCs w:val="24"/>
          <w:lang w:val="ru-RU"/>
        </w:rPr>
        <w:t xml:space="preserve"> – для индивидуальной номинации; </w:t>
      </w:r>
      <w:r w:rsidR="00B03201" w:rsidRPr="00C401DE">
        <w:rPr>
          <w:sz w:val="24"/>
          <w:szCs w:val="24"/>
          <w:lang w:val="ru-RU"/>
        </w:rPr>
        <w:t xml:space="preserve">приложение № </w:t>
      </w:r>
      <w:r w:rsidR="00B03201">
        <w:rPr>
          <w:sz w:val="24"/>
          <w:szCs w:val="24"/>
          <w:lang w:val="ru-RU"/>
        </w:rPr>
        <w:t>2 – для коллективной номинации</w:t>
      </w:r>
      <w:r w:rsidRPr="00C401DE">
        <w:rPr>
          <w:sz w:val="24"/>
          <w:szCs w:val="24"/>
          <w:lang w:val="ru-RU"/>
        </w:rPr>
        <w:t>);</w:t>
      </w:r>
      <w:proofErr w:type="gramEnd"/>
    </w:p>
    <w:p w:rsidR="00C401DE" w:rsidRPr="00B03201" w:rsidRDefault="00C401DE" w:rsidP="00C401DE">
      <w:pPr>
        <w:pStyle w:val="3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C401DE">
        <w:rPr>
          <w:sz w:val="24"/>
          <w:szCs w:val="24"/>
          <w:lang w:val="ru-RU"/>
        </w:rPr>
        <w:t>Справку с места учебы участника (скан-копия; в названии файла необходимо указывать фамилию участника и название документа.</w:t>
      </w:r>
      <w:proofErr w:type="gramEnd"/>
      <w:r w:rsidRPr="00C401DE">
        <w:rPr>
          <w:sz w:val="24"/>
          <w:szCs w:val="24"/>
          <w:lang w:val="ru-RU"/>
        </w:rPr>
        <w:t xml:space="preserve"> </w:t>
      </w:r>
      <w:r w:rsidRPr="00B03201">
        <w:rPr>
          <w:sz w:val="24"/>
          <w:szCs w:val="24"/>
          <w:lang w:val="ru-RU"/>
        </w:rPr>
        <w:t>Например: Иванов, справка с места учебы);</w:t>
      </w:r>
    </w:p>
    <w:p w:rsidR="00C401DE" w:rsidRPr="00D20E83" w:rsidRDefault="00C401DE" w:rsidP="00C401DE">
      <w:pPr>
        <w:pStyle w:val="3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C401DE">
        <w:rPr>
          <w:sz w:val="24"/>
          <w:szCs w:val="24"/>
          <w:lang w:val="ru-RU"/>
        </w:rPr>
        <w:t>Копия зачетной книжки участника или диплома бакалавра (скан-копия; в названии файла необходимо указывать фамилию участника и название документа.</w:t>
      </w:r>
      <w:proofErr w:type="gramEnd"/>
      <w:r w:rsidRPr="00C401DE">
        <w:rPr>
          <w:sz w:val="24"/>
          <w:szCs w:val="24"/>
          <w:lang w:val="ru-RU"/>
        </w:rPr>
        <w:t xml:space="preserve"> </w:t>
      </w:r>
      <w:r w:rsidRPr="00D20E83">
        <w:rPr>
          <w:sz w:val="24"/>
          <w:szCs w:val="24"/>
          <w:lang w:val="ru-RU"/>
        </w:rPr>
        <w:t xml:space="preserve">Например: </w:t>
      </w:r>
      <w:proofErr w:type="gramStart"/>
      <w:r w:rsidRPr="00D20E83">
        <w:rPr>
          <w:sz w:val="24"/>
          <w:szCs w:val="24"/>
          <w:lang w:val="ru-RU"/>
        </w:rPr>
        <w:t>Иванов, зачетка), за последние 2 учебных семестра</w:t>
      </w:r>
      <w:r w:rsidR="00D20E83">
        <w:rPr>
          <w:sz w:val="24"/>
          <w:szCs w:val="24"/>
          <w:lang w:val="ru-RU"/>
        </w:rPr>
        <w:t>, заверенная в образовательной организации</w:t>
      </w:r>
      <w:r w:rsidRPr="00D20E83">
        <w:rPr>
          <w:sz w:val="24"/>
          <w:szCs w:val="24"/>
          <w:lang w:val="ru-RU"/>
        </w:rPr>
        <w:t>;</w:t>
      </w:r>
      <w:proofErr w:type="gramEnd"/>
    </w:p>
    <w:p w:rsidR="00C401DE" w:rsidRPr="008D0A11" w:rsidRDefault="00C401DE" w:rsidP="00C401DE">
      <w:pPr>
        <w:pStyle w:val="3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  <w:lang w:val="ru-RU"/>
        </w:rPr>
      </w:pPr>
      <w:r w:rsidRPr="00C401DE">
        <w:rPr>
          <w:sz w:val="24"/>
          <w:szCs w:val="24"/>
          <w:lang w:val="ru-RU"/>
        </w:rPr>
        <w:t xml:space="preserve">видеоролик (или ссылку на ресурс, на котором размещен видеоролик) длительностью не более 1 минуты, раскрывающий тему «Я – Староста года» для номинации </w:t>
      </w:r>
      <w:r w:rsidRPr="008D0A11">
        <w:rPr>
          <w:sz w:val="24"/>
          <w:szCs w:val="24"/>
          <w:lang w:val="ru-RU"/>
        </w:rPr>
        <w:t>«Староста года»;</w:t>
      </w:r>
    </w:p>
    <w:p w:rsidR="00C401DE" w:rsidRPr="00C401DE" w:rsidRDefault="00C401DE" w:rsidP="00C401DE">
      <w:pPr>
        <w:pStyle w:val="3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401DE">
        <w:rPr>
          <w:sz w:val="24"/>
          <w:szCs w:val="24"/>
          <w:lang w:val="ru-RU"/>
        </w:rPr>
        <w:t>Портфолио</w:t>
      </w:r>
      <w:proofErr w:type="spellEnd"/>
      <w:r w:rsidRPr="00C401DE">
        <w:rPr>
          <w:sz w:val="24"/>
          <w:szCs w:val="24"/>
          <w:lang w:val="ru-RU"/>
        </w:rPr>
        <w:t xml:space="preserve"> «Мои достижения – мой результат», отражающее достижения в заявленной номинации и включающее:</w:t>
      </w:r>
    </w:p>
    <w:p w:rsidR="00C401DE" w:rsidRPr="00C401DE" w:rsidRDefault="00C401DE" w:rsidP="00C401DE">
      <w:pPr>
        <w:pStyle w:val="3"/>
        <w:tabs>
          <w:tab w:val="left" w:pos="1134"/>
        </w:tabs>
        <w:spacing w:after="0" w:line="276" w:lineRule="auto"/>
        <w:ind w:left="709"/>
        <w:jc w:val="both"/>
        <w:rPr>
          <w:sz w:val="24"/>
          <w:szCs w:val="24"/>
          <w:lang w:val="ru-RU"/>
        </w:rPr>
      </w:pPr>
      <w:r w:rsidRPr="00C401DE">
        <w:rPr>
          <w:sz w:val="24"/>
          <w:szCs w:val="24"/>
          <w:lang w:val="ru-RU"/>
        </w:rPr>
        <w:t>- характеристику-рекомендацию образовательного учреждения на участие в региональном заочном этапе Премии (с указанием заявленной номинации);</w:t>
      </w:r>
    </w:p>
    <w:p w:rsidR="00C401DE" w:rsidRPr="00C401DE" w:rsidRDefault="00C401DE" w:rsidP="00C401DE">
      <w:pPr>
        <w:spacing w:line="276" w:lineRule="auto"/>
        <w:ind w:left="709"/>
        <w:jc w:val="both"/>
        <w:rPr>
          <w:sz w:val="24"/>
          <w:szCs w:val="24"/>
        </w:rPr>
      </w:pPr>
      <w:r w:rsidRPr="00C401DE">
        <w:rPr>
          <w:sz w:val="24"/>
          <w:szCs w:val="24"/>
        </w:rPr>
        <w:t>- другие рекомендательные письма, резюме, отзывы;</w:t>
      </w:r>
    </w:p>
    <w:p w:rsidR="00C401DE" w:rsidRPr="00C401DE" w:rsidRDefault="008D0A11" w:rsidP="00C401DE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01DE" w:rsidRPr="00C401DE">
        <w:rPr>
          <w:sz w:val="24"/>
          <w:szCs w:val="24"/>
        </w:rPr>
        <w:t>дипломы, благодарственные письма, почетные и другие грамоты, сертификаты;</w:t>
      </w:r>
    </w:p>
    <w:p w:rsidR="00C401DE" w:rsidRPr="00C401DE" w:rsidRDefault="00C401DE" w:rsidP="00C401DE">
      <w:pPr>
        <w:spacing w:line="276" w:lineRule="auto"/>
        <w:ind w:left="709"/>
        <w:jc w:val="both"/>
        <w:rPr>
          <w:sz w:val="24"/>
          <w:szCs w:val="24"/>
        </w:rPr>
      </w:pPr>
      <w:r w:rsidRPr="00C401DE">
        <w:rPr>
          <w:sz w:val="24"/>
          <w:szCs w:val="24"/>
        </w:rPr>
        <w:t>- иллюстрации (фотографии, вырезки из газет, видеоматериалы др.);</w:t>
      </w:r>
    </w:p>
    <w:p w:rsidR="00C401DE" w:rsidRPr="00C401DE" w:rsidRDefault="00C401DE" w:rsidP="00C401DE">
      <w:pPr>
        <w:widowControl/>
        <w:tabs>
          <w:tab w:val="left" w:pos="1560"/>
        </w:tabs>
        <w:spacing w:line="276" w:lineRule="auto"/>
        <w:ind w:left="709"/>
        <w:jc w:val="both"/>
        <w:rPr>
          <w:sz w:val="24"/>
          <w:szCs w:val="24"/>
        </w:rPr>
      </w:pPr>
      <w:r w:rsidRPr="00C401DE">
        <w:rPr>
          <w:sz w:val="24"/>
          <w:szCs w:val="24"/>
        </w:rPr>
        <w:t>- другие документы, подтверждающие достижения и победы в период с сентября 201</w:t>
      </w:r>
      <w:r w:rsidR="008D0A11">
        <w:rPr>
          <w:sz w:val="24"/>
          <w:szCs w:val="24"/>
        </w:rPr>
        <w:t>7</w:t>
      </w:r>
      <w:r w:rsidRPr="00C401DE">
        <w:rPr>
          <w:sz w:val="24"/>
          <w:szCs w:val="24"/>
        </w:rPr>
        <w:t xml:space="preserve"> года по август 201</w:t>
      </w:r>
      <w:r w:rsidR="008D0A11">
        <w:rPr>
          <w:sz w:val="24"/>
          <w:szCs w:val="24"/>
        </w:rPr>
        <w:t>9</w:t>
      </w:r>
      <w:r w:rsidRPr="00C401DE">
        <w:rPr>
          <w:sz w:val="24"/>
          <w:szCs w:val="24"/>
        </w:rPr>
        <w:t xml:space="preserve"> года</w:t>
      </w:r>
      <w:r w:rsidR="008D0A11">
        <w:rPr>
          <w:sz w:val="24"/>
          <w:szCs w:val="24"/>
        </w:rPr>
        <w:t xml:space="preserve"> </w:t>
      </w:r>
      <w:r w:rsidRPr="00C401DE">
        <w:rPr>
          <w:sz w:val="24"/>
          <w:szCs w:val="24"/>
        </w:rPr>
        <w:t>и отражающие достижения участника в заявленной номинации.</w:t>
      </w:r>
    </w:p>
    <w:p w:rsidR="00C401DE" w:rsidRPr="00C401DE" w:rsidRDefault="00C401DE" w:rsidP="00C401D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401D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Обязательное </w:t>
      </w:r>
      <w:proofErr w:type="spellStart"/>
      <w:r w:rsidRPr="00C401D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условие</w:t>
      </w:r>
      <w:proofErr w:type="gramStart"/>
      <w:r w:rsidRPr="00C401D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C401D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C401DE">
        <w:rPr>
          <w:rFonts w:ascii="Times New Roman" w:hAnsi="Times New Roman"/>
          <w:color w:val="000000" w:themeColor="text1"/>
          <w:sz w:val="24"/>
          <w:szCs w:val="24"/>
        </w:rPr>
        <w:t>ортфолио</w:t>
      </w:r>
      <w:proofErr w:type="spellEnd"/>
      <w:r w:rsidRPr="00C401DE">
        <w:rPr>
          <w:rFonts w:ascii="Times New Roman" w:hAnsi="Times New Roman"/>
          <w:color w:val="000000" w:themeColor="text1"/>
          <w:sz w:val="24"/>
          <w:szCs w:val="24"/>
        </w:rPr>
        <w:t xml:space="preserve"> должно быть выполнено в формате </w:t>
      </w:r>
      <w:proofErr w:type="spellStart"/>
      <w:r w:rsidRPr="00C401DE">
        <w:rPr>
          <w:rFonts w:ascii="Times New Roman" w:hAnsi="Times New Roman"/>
          <w:color w:val="000000" w:themeColor="text1"/>
          <w:sz w:val="24"/>
          <w:szCs w:val="24"/>
        </w:rPr>
        <w:t>MicrosoftOfficePowerPoint</w:t>
      </w:r>
      <w:proofErr w:type="spellEnd"/>
      <w:r w:rsidRPr="00C401DE">
        <w:rPr>
          <w:rFonts w:ascii="Times New Roman" w:hAnsi="Times New Roman"/>
          <w:color w:val="000000" w:themeColor="text1"/>
          <w:sz w:val="24"/>
          <w:szCs w:val="24"/>
        </w:rPr>
        <w:t xml:space="preserve"> или формате </w:t>
      </w:r>
      <w:proofErr w:type="spellStart"/>
      <w:r w:rsidRPr="00C401DE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C401DE">
        <w:rPr>
          <w:rFonts w:ascii="Times New Roman" w:hAnsi="Times New Roman"/>
          <w:color w:val="000000" w:themeColor="text1"/>
          <w:sz w:val="24"/>
          <w:szCs w:val="24"/>
        </w:rPr>
        <w:t xml:space="preserve"> (одним файлом),  объемом не более   20 Мб.</w:t>
      </w:r>
    </w:p>
    <w:p w:rsidR="00C401DE" w:rsidRPr="00C401DE" w:rsidRDefault="00C401DE" w:rsidP="00C401DE">
      <w:pPr>
        <w:widowControl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</w:p>
    <w:p w:rsidR="00C401DE" w:rsidRPr="00C401DE" w:rsidRDefault="00D20E83" w:rsidP="00C401DE">
      <w:pPr>
        <w:widowControl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01DE" w:rsidRPr="00C401DE">
        <w:rPr>
          <w:sz w:val="24"/>
          <w:szCs w:val="24"/>
        </w:rPr>
        <w:t xml:space="preserve">.2. Конкурсные материалы, представляемые на Региональный заочный этап Премии, отправляются </w:t>
      </w:r>
      <w:r w:rsidR="00C401DE" w:rsidRPr="00C401DE">
        <w:rPr>
          <w:b/>
          <w:sz w:val="24"/>
          <w:szCs w:val="24"/>
        </w:rPr>
        <w:t xml:space="preserve">по электронной почте </w:t>
      </w:r>
      <w:r w:rsidR="00C401DE" w:rsidRPr="00C401DE">
        <w:rPr>
          <w:b/>
          <w:sz w:val="24"/>
          <w:szCs w:val="24"/>
          <w:shd w:val="clear" w:color="auto" w:fill="FFFFFF"/>
        </w:rPr>
        <w:t>smkkonkurs@yandex.ru</w:t>
      </w:r>
      <w:r w:rsidR="00C401DE" w:rsidRPr="00C401DE">
        <w:rPr>
          <w:sz w:val="24"/>
          <w:szCs w:val="24"/>
        </w:rPr>
        <w:t xml:space="preserve"> с пометкой «На Региональный заочный этап Премии» </w:t>
      </w:r>
      <w:r w:rsidR="00C401DE" w:rsidRPr="00C401DE">
        <w:rPr>
          <w:b/>
          <w:sz w:val="24"/>
          <w:szCs w:val="24"/>
        </w:rPr>
        <w:t xml:space="preserve">до </w:t>
      </w:r>
      <w:r w:rsidR="008D0A11">
        <w:rPr>
          <w:b/>
          <w:sz w:val="24"/>
          <w:szCs w:val="24"/>
        </w:rPr>
        <w:t>17</w:t>
      </w:r>
      <w:r w:rsidR="00C401DE" w:rsidRPr="00C401DE">
        <w:rPr>
          <w:b/>
          <w:sz w:val="24"/>
          <w:szCs w:val="24"/>
        </w:rPr>
        <w:t xml:space="preserve">.00 часов </w:t>
      </w:r>
      <w:r w:rsidR="008D0A11">
        <w:rPr>
          <w:b/>
          <w:sz w:val="24"/>
          <w:szCs w:val="24"/>
        </w:rPr>
        <w:t>30 сен</w:t>
      </w:r>
      <w:r w:rsidR="00C401DE" w:rsidRPr="00C401DE">
        <w:rPr>
          <w:b/>
          <w:sz w:val="24"/>
          <w:szCs w:val="24"/>
        </w:rPr>
        <w:t>тября 201</w:t>
      </w:r>
      <w:r w:rsidR="008D0A11">
        <w:rPr>
          <w:b/>
          <w:sz w:val="24"/>
          <w:szCs w:val="24"/>
        </w:rPr>
        <w:t>9</w:t>
      </w:r>
      <w:r w:rsidR="00C401DE" w:rsidRPr="00C401DE">
        <w:rPr>
          <w:b/>
          <w:sz w:val="24"/>
          <w:szCs w:val="24"/>
        </w:rPr>
        <w:t xml:space="preserve"> года</w:t>
      </w:r>
      <w:r w:rsidR="00C401DE" w:rsidRPr="00C401DE">
        <w:rPr>
          <w:sz w:val="24"/>
          <w:szCs w:val="24"/>
        </w:rPr>
        <w:t>.</w:t>
      </w:r>
    </w:p>
    <w:p w:rsidR="00C401DE" w:rsidRPr="00C401DE" w:rsidRDefault="00D20E83" w:rsidP="00C401DE">
      <w:pPr>
        <w:widowControl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401DE" w:rsidRPr="00C401DE">
        <w:rPr>
          <w:sz w:val="24"/>
          <w:szCs w:val="24"/>
        </w:rPr>
        <w:t xml:space="preserve">.3. Конкурсные материалы, представленные на Региональный заочный этап Премии позднее </w:t>
      </w:r>
      <w:r>
        <w:rPr>
          <w:sz w:val="24"/>
          <w:szCs w:val="24"/>
        </w:rPr>
        <w:t>30 сент</w:t>
      </w:r>
      <w:r w:rsidR="00C401DE" w:rsidRPr="00C401DE">
        <w:rPr>
          <w:sz w:val="24"/>
          <w:szCs w:val="24"/>
        </w:rPr>
        <w:t>ября 201</w:t>
      </w:r>
      <w:r w:rsidR="00B03201">
        <w:rPr>
          <w:sz w:val="24"/>
          <w:szCs w:val="24"/>
        </w:rPr>
        <w:t>9</w:t>
      </w:r>
      <w:r w:rsidR="00C401DE" w:rsidRPr="00C401DE">
        <w:rPr>
          <w:sz w:val="24"/>
          <w:szCs w:val="24"/>
        </w:rPr>
        <w:t xml:space="preserve"> года, а также с нарушениями, не рассматриваются.</w:t>
      </w:r>
    </w:p>
    <w:p w:rsidR="00C401DE" w:rsidRPr="00C401DE" w:rsidRDefault="00D20E83" w:rsidP="00C401DE">
      <w:pPr>
        <w:widowControl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01DE" w:rsidRPr="00C401DE">
        <w:rPr>
          <w:sz w:val="24"/>
          <w:szCs w:val="24"/>
        </w:rPr>
        <w:t>.4. Материалы, присланные на Региональный заочный этап Премии, не рецензируются и не возвращаются.</w:t>
      </w:r>
    </w:p>
    <w:p w:rsidR="00C401DE" w:rsidRPr="00C401DE" w:rsidRDefault="00C401DE" w:rsidP="00C401DE">
      <w:pPr>
        <w:widowControl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</w:p>
    <w:p w:rsidR="00706F22" w:rsidRPr="00C401DE" w:rsidRDefault="00B03201" w:rsidP="00C401DE">
      <w:pPr>
        <w:pStyle w:val="a8"/>
        <w:spacing w:line="276" w:lineRule="auto"/>
        <w:jc w:val="center"/>
        <w:rPr>
          <w:b/>
          <w:sz w:val="24"/>
          <w:szCs w:val="24"/>
          <w:lang w:val="ru-RU"/>
        </w:rPr>
      </w:pPr>
      <w:bookmarkStart w:id="1" w:name="_Ref493875044"/>
      <w:r>
        <w:rPr>
          <w:b/>
          <w:sz w:val="24"/>
          <w:szCs w:val="24"/>
          <w:lang w:val="ru-RU"/>
        </w:rPr>
        <w:t>7</w:t>
      </w:r>
      <w:r w:rsidR="00706F22" w:rsidRPr="00C401DE">
        <w:rPr>
          <w:b/>
          <w:sz w:val="24"/>
          <w:szCs w:val="24"/>
          <w:lang w:val="ru-RU"/>
        </w:rPr>
        <w:t>.</w:t>
      </w:r>
      <w:r w:rsidR="00706F22" w:rsidRPr="00C401DE">
        <w:rPr>
          <w:b/>
          <w:sz w:val="24"/>
          <w:szCs w:val="24"/>
        </w:rPr>
        <w:t> </w:t>
      </w:r>
      <w:r w:rsidR="00706F22" w:rsidRPr="00C401DE">
        <w:rPr>
          <w:b/>
          <w:sz w:val="24"/>
          <w:szCs w:val="24"/>
          <w:lang w:val="ru-RU"/>
        </w:rPr>
        <w:t>Подведение итогов регионального заочного этапа Премии.</w:t>
      </w:r>
    </w:p>
    <w:p w:rsidR="00706F22" w:rsidRPr="00C401DE" w:rsidRDefault="00706F22" w:rsidP="00C401DE">
      <w:pPr>
        <w:pStyle w:val="a8"/>
        <w:spacing w:line="276" w:lineRule="auto"/>
        <w:jc w:val="center"/>
        <w:rPr>
          <w:b/>
          <w:sz w:val="24"/>
          <w:szCs w:val="24"/>
          <w:lang w:val="ru-RU"/>
        </w:rPr>
      </w:pPr>
    </w:p>
    <w:p w:rsidR="00706F22" w:rsidRPr="00C401DE" w:rsidRDefault="00B03201" w:rsidP="00C401DE">
      <w:pPr>
        <w:widowControl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06F22" w:rsidRPr="00C401DE">
        <w:rPr>
          <w:sz w:val="24"/>
          <w:szCs w:val="24"/>
        </w:rPr>
        <w:t xml:space="preserve">.1. По итогам оценки </w:t>
      </w:r>
      <w:r w:rsidR="00C401DE" w:rsidRPr="00C401DE">
        <w:rPr>
          <w:sz w:val="24"/>
          <w:szCs w:val="24"/>
        </w:rPr>
        <w:t>экспертн</w:t>
      </w:r>
      <w:r>
        <w:rPr>
          <w:sz w:val="24"/>
          <w:szCs w:val="24"/>
        </w:rPr>
        <w:t>ым</w:t>
      </w:r>
      <w:r w:rsidR="00C401DE" w:rsidRPr="00C401DE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  <w:r w:rsidR="00C401DE" w:rsidRPr="00C401DE">
        <w:rPr>
          <w:sz w:val="24"/>
          <w:szCs w:val="24"/>
        </w:rPr>
        <w:t xml:space="preserve"> </w:t>
      </w:r>
      <w:r w:rsidR="00706F22" w:rsidRPr="00C401DE">
        <w:rPr>
          <w:sz w:val="24"/>
          <w:szCs w:val="24"/>
        </w:rPr>
        <w:t xml:space="preserve">материалов </w:t>
      </w:r>
      <w:r>
        <w:rPr>
          <w:sz w:val="24"/>
          <w:szCs w:val="24"/>
        </w:rPr>
        <w:t>Р</w:t>
      </w:r>
      <w:r w:rsidR="00706F22" w:rsidRPr="00C401DE">
        <w:rPr>
          <w:sz w:val="24"/>
          <w:szCs w:val="24"/>
        </w:rPr>
        <w:t>егионального заочного этапа Премии определяются участники всероссийского заочного этапа Премии.</w:t>
      </w:r>
    </w:p>
    <w:p w:rsidR="00706F22" w:rsidRPr="00C401DE" w:rsidRDefault="00B03201" w:rsidP="00C401DE">
      <w:pPr>
        <w:widowControl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06F22" w:rsidRPr="00C401DE">
        <w:rPr>
          <w:sz w:val="24"/>
          <w:szCs w:val="24"/>
        </w:rPr>
        <w:t>.</w:t>
      </w:r>
      <w:r w:rsidR="00C401DE" w:rsidRPr="00C401DE">
        <w:rPr>
          <w:sz w:val="24"/>
          <w:szCs w:val="24"/>
        </w:rPr>
        <w:t>2</w:t>
      </w:r>
      <w:r w:rsidR="00706F22" w:rsidRPr="00C401DE">
        <w:rPr>
          <w:sz w:val="24"/>
          <w:szCs w:val="24"/>
        </w:rPr>
        <w:t xml:space="preserve">. Победители Регионального заочного этапа </w:t>
      </w:r>
      <w:r>
        <w:rPr>
          <w:sz w:val="24"/>
          <w:szCs w:val="24"/>
        </w:rPr>
        <w:t>Премии участвуют во Всероссийском заочном этапе Премии</w:t>
      </w:r>
      <w:r w:rsidR="00706F22" w:rsidRPr="00C401DE">
        <w:rPr>
          <w:sz w:val="24"/>
          <w:szCs w:val="24"/>
        </w:rPr>
        <w:t xml:space="preserve">. </w:t>
      </w:r>
    </w:p>
    <w:bookmarkEnd w:id="1"/>
    <w:p w:rsidR="00E6666C" w:rsidRPr="001C3381" w:rsidRDefault="00E6666C" w:rsidP="009226A7">
      <w:pPr>
        <w:spacing w:before="240" w:line="276" w:lineRule="auto"/>
        <w:ind w:firstLine="709"/>
        <w:jc w:val="center"/>
        <w:rPr>
          <w:b/>
          <w:sz w:val="24"/>
          <w:szCs w:val="24"/>
        </w:rPr>
      </w:pPr>
      <w:r w:rsidRPr="001C3381">
        <w:rPr>
          <w:b/>
          <w:sz w:val="24"/>
          <w:szCs w:val="24"/>
        </w:rPr>
        <w:t>10. Контактная информация</w:t>
      </w:r>
    </w:p>
    <w:p w:rsidR="00B03201" w:rsidRPr="00B03201" w:rsidRDefault="00B03201" w:rsidP="00B03201">
      <w:pPr>
        <w:pStyle w:val="a8"/>
        <w:tabs>
          <w:tab w:val="left" w:pos="709"/>
        </w:tabs>
        <w:spacing w:line="276" w:lineRule="auto"/>
        <w:rPr>
          <w:sz w:val="24"/>
          <w:szCs w:val="24"/>
          <w:lang w:val="ru-RU"/>
        </w:rPr>
      </w:pPr>
      <w:r w:rsidRPr="00B03201">
        <w:rPr>
          <w:sz w:val="24"/>
          <w:szCs w:val="24"/>
          <w:lang w:val="ru-RU"/>
        </w:rPr>
        <w:t>Кемеровская региональная общественная организация  «Союз Молодежи Кузбасса»</w:t>
      </w:r>
    </w:p>
    <w:p w:rsidR="00B03201" w:rsidRPr="00B03201" w:rsidRDefault="00B03201" w:rsidP="00B03201">
      <w:pPr>
        <w:pStyle w:val="a8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B03201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B03201">
        <w:rPr>
          <w:sz w:val="24"/>
          <w:szCs w:val="24"/>
          <w:lang w:val="ru-RU"/>
        </w:rPr>
        <w:t>Кемерово, ул.</w:t>
      </w:r>
      <w:r>
        <w:rPr>
          <w:sz w:val="24"/>
          <w:szCs w:val="24"/>
          <w:lang w:val="ru-RU"/>
        </w:rPr>
        <w:t xml:space="preserve"> </w:t>
      </w:r>
      <w:proofErr w:type="spellStart"/>
      <w:r w:rsidRPr="00B03201">
        <w:rPr>
          <w:sz w:val="24"/>
          <w:szCs w:val="24"/>
          <w:lang w:val="ru-RU"/>
        </w:rPr>
        <w:t>Ноградская</w:t>
      </w:r>
      <w:proofErr w:type="spellEnd"/>
      <w:r w:rsidRPr="00B03201">
        <w:rPr>
          <w:sz w:val="24"/>
          <w:szCs w:val="24"/>
          <w:lang w:val="ru-RU"/>
        </w:rPr>
        <w:t>,  3-17</w:t>
      </w:r>
    </w:p>
    <w:p w:rsidR="00B03201" w:rsidRPr="00B03201" w:rsidRDefault="00B03201" w:rsidP="00B03201">
      <w:pPr>
        <w:pStyle w:val="a8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B03201">
        <w:rPr>
          <w:sz w:val="24"/>
          <w:szCs w:val="24"/>
          <w:lang w:val="ru-RU"/>
        </w:rPr>
        <w:t>ел. для связи: 8(3842)36-38-22</w:t>
      </w:r>
      <w:r>
        <w:rPr>
          <w:sz w:val="24"/>
          <w:szCs w:val="24"/>
          <w:lang w:val="ru-RU"/>
        </w:rPr>
        <w:t>, 8(3842)36-37-71</w:t>
      </w:r>
    </w:p>
    <w:p w:rsidR="00B03201" w:rsidRPr="00B03201" w:rsidRDefault="00B03201" w:rsidP="00B03201">
      <w:pPr>
        <w:pStyle w:val="a8"/>
        <w:tabs>
          <w:tab w:val="left" w:pos="0"/>
        </w:tabs>
        <w:spacing w:line="276" w:lineRule="auto"/>
        <w:rPr>
          <w:sz w:val="24"/>
          <w:szCs w:val="24"/>
          <w:shd w:val="clear" w:color="auto" w:fill="FFFFFF"/>
          <w:lang w:val="ru-RU"/>
        </w:rPr>
      </w:pPr>
      <w:r w:rsidRPr="00B03201">
        <w:rPr>
          <w:sz w:val="24"/>
          <w:szCs w:val="24"/>
          <w:lang w:val="ru-RU"/>
        </w:rPr>
        <w:t xml:space="preserve">Электронная почта: </w:t>
      </w:r>
      <w:hyperlink r:id="rId7" w:history="1">
        <w:r w:rsidRPr="00B03201">
          <w:rPr>
            <w:rStyle w:val="a5"/>
            <w:sz w:val="24"/>
            <w:szCs w:val="24"/>
            <w:shd w:val="clear" w:color="auto" w:fill="FFFFFF"/>
          </w:rPr>
          <w:t>smkkonkurs</w:t>
        </w:r>
        <w:r w:rsidRPr="00B03201">
          <w:rPr>
            <w:rStyle w:val="a5"/>
            <w:sz w:val="24"/>
            <w:szCs w:val="24"/>
            <w:shd w:val="clear" w:color="auto" w:fill="FFFFFF"/>
            <w:lang w:val="ru-RU"/>
          </w:rPr>
          <w:t>@</w:t>
        </w:r>
        <w:r w:rsidRPr="00B03201">
          <w:rPr>
            <w:rStyle w:val="a5"/>
            <w:sz w:val="24"/>
            <w:szCs w:val="24"/>
            <w:shd w:val="clear" w:color="auto" w:fill="FFFFFF"/>
          </w:rPr>
          <w:t>yandex</w:t>
        </w:r>
        <w:r w:rsidRPr="00B03201">
          <w:rPr>
            <w:rStyle w:val="a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03201">
          <w:rPr>
            <w:rStyle w:val="a5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03201" w:rsidRPr="00B03201" w:rsidRDefault="00B03201" w:rsidP="00B03201">
      <w:pPr>
        <w:widowControl/>
        <w:autoSpaceDE/>
        <w:autoSpaceDN/>
        <w:adjustRightInd/>
        <w:spacing w:after="200" w:line="276" w:lineRule="auto"/>
        <w:rPr>
          <w:sz w:val="24"/>
          <w:szCs w:val="24"/>
          <w:shd w:val="clear" w:color="auto" w:fill="FFFFFF"/>
        </w:rPr>
      </w:pPr>
      <w:r w:rsidRPr="00B03201">
        <w:rPr>
          <w:sz w:val="24"/>
          <w:szCs w:val="24"/>
          <w:shd w:val="clear" w:color="auto" w:fill="FFFFFF"/>
        </w:rPr>
        <w:br w:type="page"/>
      </w:r>
    </w:p>
    <w:p w:rsidR="00021BDB" w:rsidRPr="00B03201" w:rsidRDefault="00021BDB" w:rsidP="009226A7">
      <w:pPr>
        <w:pStyle w:val="a3"/>
        <w:widowControl/>
        <w:spacing w:line="276" w:lineRule="auto"/>
        <w:ind w:left="0" w:right="0" w:firstLine="709"/>
        <w:contextualSpacing/>
        <w:jc w:val="right"/>
        <w:rPr>
          <w:sz w:val="20"/>
        </w:rPr>
      </w:pPr>
      <w:r w:rsidRPr="00B03201">
        <w:rPr>
          <w:sz w:val="20"/>
        </w:rPr>
        <w:lastRenderedPageBreak/>
        <w:t xml:space="preserve">Приложение </w:t>
      </w:r>
      <w:r w:rsidR="00B03201" w:rsidRPr="00B03201">
        <w:rPr>
          <w:sz w:val="20"/>
        </w:rPr>
        <w:t>1</w:t>
      </w:r>
      <w:r w:rsidRPr="00B03201">
        <w:rPr>
          <w:sz w:val="20"/>
        </w:rPr>
        <w:t xml:space="preserve"> </w:t>
      </w:r>
    </w:p>
    <w:p w:rsidR="00A32AF8" w:rsidRPr="00B03201" w:rsidRDefault="009F0395" w:rsidP="009226A7">
      <w:pPr>
        <w:pStyle w:val="a3"/>
        <w:widowControl/>
        <w:spacing w:line="276" w:lineRule="auto"/>
        <w:ind w:left="0" w:right="0" w:firstLine="709"/>
        <w:contextualSpacing/>
        <w:rPr>
          <w:b/>
          <w:sz w:val="20"/>
        </w:rPr>
      </w:pPr>
      <w:r w:rsidRPr="00B03201">
        <w:rPr>
          <w:b/>
          <w:sz w:val="20"/>
        </w:rPr>
        <w:t>Резюме участника</w:t>
      </w:r>
      <w:r w:rsidR="00A61EB1" w:rsidRPr="00B03201">
        <w:rPr>
          <w:b/>
          <w:sz w:val="20"/>
        </w:rPr>
        <w:t xml:space="preserve"> индивидуальной номинации</w:t>
      </w:r>
      <w:r w:rsidRPr="00B03201">
        <w:rPr>
          <w:b/>
          <w:sz w:val="20"/>
        </w:rPr>
        <w:t xml:space="preserve"> Премии</w:t>
      </w:r>
    </w:p>
    <w:p w:rsidR="00A32AF8" w:rsidRPr="00B03201" w:rsidRDefault="00A32AF8" w:rsidP="009226A7">
      <w:pPr>
        <w:spacing w:before="20" w:after="20" w:line="276" w:lineRule="auto"/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68"/>
        <w:gridCol w:w="2820"/>
        <w:gridCol w:w="4097"/>
      </w:tblGrid>
      <w:tr w:rsidR="00A32AF8" w:rsidRPr="00B03201" w:rsidTr="00A61EB1">
        <w:trPr>
          <w:trHeight w:val="1575"/>
        </w:trPr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  <w:p w:rsidR="00A32AF8" w:rsidRPr="00B03201" w:rsidRDefault="00A32AF8" w:rsidP="009226A7">
            <w:pPr>
              <w:spacing w:before="20" w:after="20" w:line="276" w:lineRule="auto"/>
              <w:contextualSpacing/>
              <w:jc w:val="center"/>
            </w:pPr>
            <w:r w:rsidRPr="00B03201">
              <w:t>Фотография</w:t>
            </w:r>
          </w:p>
        </w:tc>
        <w:tc>
          <w:tcPr>
            <w:tcW w:w="6917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36"/>
              <w:gridCol w:w="3755"/>
            </w:tblGrid>
            <w:tr w:rsidR="00A32AF8" w:rsidRPr="00B03201" w:rsidTr="00A61EB1">
              <w:trPr>
                <w:trHeight w:val="523"/>
              </w:trPr>
              <w:tc>
                <w:tcPr>
                  <w:tcW w:w="3017" w:type="dxa"/>
                  <w:tcBorders>
                    <w:top w:val="single" w:sz="4" w:space="0" w:color="auto"/>
                  </w:tcBorders>
                </w:tcPr>
                <w:p w:rsidR="008F1B5C" w:rsidRPr="00B03201" w:rsidRDefault="008F1B5C" w:rsidP="009226A7">
                  <w:pPr>
                    <w:spacing w:before="20" w:after="20" w:line="276" w:lineRule="auto"/>
                    <w:contextualSpacing/>
                  </w:pPr>
                  <w:r w:rsidRPr="00B03201">
                    <w:t>ФИО (полностью)</w:t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</w:tcBorders>
                </w:tcPr>
                <w:p w:rsidR="00A32AF8" w:rsidRPr="00B03201" w:rsidRDefault="00A32AF8" w:rsidP="009226A7">
                  <w:pPr>
                    <w:spacing w:before="20" w:after="20" w:line="276" w:lineRule="auto"/>
                    <w:ind w:firstLine="709"/>
                    <w:contextualSpacing/>
                  </w:pPr>
                </w:p>
              </w:tc>
            </w:tr>
            <w:tr w:rsidR="00A32AF8" w:rsidRPr="00B03201" w:rsidTr="00A61EB1">
              <w:trPr>
                <w:trHeight w:val="560"/>
              </w:trPr>
              <w:tc>
                <w:tcPr>
                  <w:tcW w:w="3017" w:type="dxa"/>
                </w:tcPr>
                <w:p w:rsidR="00A32AF8" w:rsidRPr="00B03201" w:rsidRDefault="00A32AF8" w:rsidP="009226A7">
                  <w:pPr>
                    <w:spacing w:before="20" w:after="20" w:line="276" w:lineRule="auto"/>
                    <w:contextualSpacing/>
                  </w:pPr>
                  <w:r w:rsidRPr="00B03201">
                    <w:t>Дата рождения</w:t>
                  </w:r>
                </w:p>
              </w:tc>
              <w:tc>
                <w:tcPr>
                  <w:tcW w:w="3928" w:type="dxa"/>
                </w:tcPr>
                <w:p w:rsidR="00A32AF8" w:rsidRPr="00B03201" w:rsidRDefault="00A32AF8" w:rsidP="009226A7">
                  <w:pPr>
                    <w:spacing w:before="20" w:after="20" w:line="276" w:lineRule="auto"/>
                    <w:ind w:firstLine="709"/>
                    <w:contextualSpacing/>
                  </w:pPr>
                </w:p>
              </w:tc>
            </w:tr>
            <w:tr w:rsidR="00813C48" w:rsidRPr="00B03201" w:rsidTr="00A61EB1">
              <w:trPr>
                <w:trHeight w:val="554"/>
              </w:trPr>
              <w:tc>
                <w:tcPr>
                  <w:tcW w:w="3017" w:type="dxa"/>
                </w:tcPr>
                <w:p w:rsidR="00813C48" w:rsidRPr="00B03201" w:rsidRDefault="00813C48" w:rsidP="009226A7">
                  <w:pPr>
                    <w:spacing w:before="20" w:after="20" w:line="276" w:lineRule="auto"/>
                    <w:contextualSpacing/>
                  </w:pPr>
                  <w:r w:rsidRPr="00B03201">
                    <w:t>Субъект РФ</w:t>
                  </w:r>
                </w:p>
              </w:tc>
              <w:tc>
                <w:tcPr>
                  <w:tcW w:w="3928" w:type="dxa"/>
                </w:tcPr>
                <w:p w:rsidR="00813C48" w:rsidRPr="00B03201" w:rsidRDefault="00813C48" w:rsidP="009226A7">
                  <w:pPr>
                    <w:spacing w:before="20" w:after="20" w:line="276" w:lineRule="auto"/>
                    <w:ind w:firstLine="709"/>
                    <w:contextualSpacing/>
                  </w:pPr>
                </w:p>
              </w:tc>
            </w:tr>
            <w:tr w:rsidR="00A61EB1" w:rsidRPr="00B03201" w:rsidTr="00A61EB1">
              <w:trPr>
                <w:trHeight w:val="561"/>
              </w:trPr>
              <w:tc>
                <w:tcPr>
                  <w:tcW w:w="3017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>Номинация</w:t>
                  </w:r>
                </w:p>
              </w:tc>
              <w:tc>
                <w:tcPr>
                  <w:tcW w:w="392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ind w:firstLine="709"/>
                    <w:contextualSpacing/>
                  </w:pPr>
                </w:p>
              </w:tc>
            </w:tr>
          </w:tbl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Образование </w:t>
            </w: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Курс обучения 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Специальность 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Дополнительное образование </w:t>
            </w: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61EB1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Наименование организации, осуществляющей дополнительное образование</w:t>
            </w:r>
            <w:r w:rsidR="00A61EB1" w:rsidRPr="00B03201">
              <w:t>, направление обучения</w:t>
            </w:r>
          </w:p>
          <w:p w:rsidR="00A32AF8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(при наличии)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Достижения согласно заявленной номинации (согласно п.</w:t>
            </w:r>
            <w:r w:rsidR="008F1B5C" w:rsidRPr="00B03201">
              <w:t xml:space="preserve"> 7</w:t>
            </w:r>
            <w:r w:rsidR="00A61EB1" w:rsidRPr="00B03201">
              <w:t xml:space="preserve"> Положения), не более 10</w:t>
            </w:r>
            <w:r w:rsidRPr="00B03201">
              <w:t xml:space="preserve"> д</w:t>
            </w:r>
            <w:r w:rsidR="00856A19" w:rsidRPr="00B03201">
              <w:t>остижений с сентября 2017</w:t>
            </w:r>
            <w:r w:rsidRPr="00B03201">
              <w:t xml:space="preserve"> г. </w:t>
            </w: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№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Дата</w:t>
            </w:r>
          </w:p>
        </w:tc>
        <w:tc>
          <w:tcPr>
            <w:tcW w:w="6917" w:type="dxa"/>
            <w:gridSpan w:val="2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  <w:r w:rsidRPr="00B03201">
              <w:t>Содержание</w:t>
            </w: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1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6917" w:type="dxa"/>
            <w:gridSpan w:val="2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2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6917" w:type="dxa"/>
            <w:gridSpan w:val="2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…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6917" w:type="dxa"/>
            <w:gridSpan w:val="2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Региональные, всероссийские и международные награды (благодарственные письма, грамоты, сертификаты), не более </w:t>
            </w:r>
            <w:r w:rsidR="00A61EB1" w:rsidRPr="00B03201">
              <w:t>10</w:t>
            </w:r>
            <w:r w:rsidRPr="00B03201">
              <w:t xml:space="preserve"> наград</w:t>
            </w:r>
            <w:r w:rsidR="00856A19" w:rsidRPr="00B03201">
              <w:t xml:space="preserve"> с сентября 2017</w:t>
            </w:r>
            <w:r w:rsidRPr="00B03201">
              <w:t xml:space="preserve"> г. </w:t>
            </w: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№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Дата вручения</w:t>
            </w:r>
          </w:p>
        </w:tc>
        <w:tc>
          <w:tcPr>
            <w:tcW w:w="2820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  <w:r w:rsidRPr="00B03201">
              <w:t xml:space="preserve">Организация </w:t>
            </w:r>
          </w:p>
        </w:tc>
        <w:tc>
          <w:tcPr>
            <w:tcW w:w="4097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  <w:r w:rsidRPr="00B03201">
              <w:t>Предмет вручения (</w:t>
            </w:r>
            <w:proofErr w:type="gramStart"/>
            <w:r w:rsidRPr="00B03201">
              <w:t>за</w:t>
            </w:r>
            <w:proofErr w:type="gramEnd"/>
            <w:r w:rsidRPr="00B03201">
              <w:t>…)</w:t>
            </w: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1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2820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  <w:tc>
          <w:tcPr>
            <w:tcW w:w="4097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2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2820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  <w:tc>
          <w:tcPr>
            <w:tcW w:w="4097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D67EDF" w:rsidRPr="00B03201" w:rsidTr="00A61EB1">
        <w:tc>
          <w:tcPr>
            <w:tcW w:w="562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  <w:r w:rsidRPr="00B03201">
              <w:t>…</w:t>
            </w:r>
          </w:p>
        </w:tc>
        <w:tc>
          <w:tcPr>
            <w:tcW w:w="2268" w:type="dxa"/>
          </w:tcPr>
          <w:p w:rsidR="00D67EDF" w:rsidRPr="00B03201" w:rsidRDefault="00D67EDF" w:rsidP="009226A7">
            <w:pPr>
              <w:spacing w:before="20" w:after="20" w:line="276" w:lineRule="auto"/>
              <w:contextualSpacing/>
            </w:pPr>
          </w:p>
        </w:tc>
        <w:tc>
          <w:tcPr>
            <w:tcW w:w="2820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  <w:tc>
          <w:tcPr>
            <w:tcW w:w="4097" w:type="dxa"/>
          </w:tcPr>
          <w:p w:rsidR="00D67EDF" w:rsidRPr="00B03201" w:rsidRDefault="00D67EDF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Общественная деяте</w:t>
            </w:r>
            <w:r w:rsidR="00A61EB1" w:rsidRPr="00B03201">
              <w:t>льность (не более 10</w:t>
            </w:r>
            <w:r w:rsidRPr="00B03201">
              <w:t xml:space="preserve"> основных д</w:t>
            </w:r>
            <w:r w:rsidR="00C36D23" w:rsidRPr="00B03201">
              <w:t xml:space="preserve">остижений </w:t>
            </w:r>
            <w:r w:rsidR="00A61EB1" w:rsidRPr="00B03201">
              <w:t>с</w:t>
            </w:r>
            <w:r w:rsidR="00C36D23" w:rsidRPr="00B03201">
              <w:t xml:space="preserve"> сентября </w:t>
            </w:r>
            <w:r w:rsidR="00856A19" w:rsidRPr="00B03201">
              <w:t>2017</w:t>
            </w:r>
            <w:r w:rsidRPr="00B03201">
              <w:t xml:space="preserve"> г</w:t>
            </w:r>
            <w:r w:rsidR="00A61EB1" w:rsidRPr="00B03201">
              <w:t>.</w:t>
            </w:r>
            <w:r w:rsidRPr="00B03201">
              <w:t xml:space="preserve">) </w:t>
            </w:r>
          </w:p>
        </w:tc>
      </w:tr>
      <w:tr w:rsidR="00A32AF8" w:rsidRPr="00B03201" w:rsidTr="00A32AF8">
        <w:tc>
          <w:tcPr>
            <w:tcW w:w="9747" w:type="dxa"/>
            <w:gridSpan w:val="4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 xml:space="preserve">Дополнительная информация об участнике (не более 5 пунктов) </w:t>
            </w:r>
          </w:p>
        </w:tc>
      </w:tr>
      <w:tr w:rsidR="00A32AF8" w:rsidRPr="00B03201" w:rsidTr="00A32AF8">
        <w:tc>
          <w:tcPr>
            <w:tcW w:w="9747" w:type="dxa"/>
            <w:gridSpan w:val="4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</w:p>
          <w:p w:rsidR="00A90AD3" w:rsidRPr="00B03201" w:rsidRDefault="00A90AD3" w:rsidP="009226A7">
            <w:pPr>
              <w:spacing w:before="20" w:after="20" w:line="276" w:lineRule="auto"/>
              <w:contextualSpacing/>
            </w:pPr>
          </w:p>
        </w:tc>
      </w:tr>
      <w:tr w:rsidR="00A32AF8" w:rsidRPr="00B03201" w:rsidTr="00A32AF8">
        <w:tc>
          <w:tcPr>
            <w:tcW w:w="9747" w:type="dxa"/>
            <w:gridSpan w:val="4"/>
            <w:shd w:val="clear" w:color="auto" w:fill="D9D9D9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Контактная информация</w:t>
            </w: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Почтовый адрес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Номер телефона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Адрес электронной почты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  <w:rPr>
                <w:lang w:val="en-US"/>
              </w:rPr>
            </w:pPr>
          </w:p>
        </w:tc>
      </w:tr>
      <w:tr w:rsidR="00A32AF8" w:rsidRPr="00B03201" w:rsidTr="00A61EB1">
        <w:tc>
          <w:tcPr>
            <w:tcW w:w="2830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contextualSpacing/>
            </w:pPr>
            <w:r w:rsidRPr="00B03201">
              <w:t>Адреса страниц в социальных сетях</w:t>
            </w:r>
          </w:p>
        </w:tc>
        <w:tc>
          <w:tcPr>
            <w:tcW w:w="6917" w:type="dxa"/>
            <w:gridSpan w:val="2"/>
          </w:tcPr>
          <w:p w:rsidR="00A32AF8" w:rsidRPr="00B03201" w:rsidRDefault="00A32AF8" w:rsidP="009226A7">
            <w:pPr>
              <w:spacing w:before="20" w:after="20" w:line="276" w:lineRule="auto"/>
              <w:ind w:firstLine="709"/>
              <w:contextualSpacing/>
            </w:pPr>
          </w:p>
        </w:tc>
      </w:tr>
    </w:tbl>
    <w:p w:rsidR="00A32AF8" w:rsidRPr="00B03201" w:rsidRDefault="00A32AF8" w:rsidP="009226A7">
      <w:pPr>
        <w:pStyle w:val="a3"/>
        <w:widowControl/>
        <w:spacing w:line="276" w:lineRule="auto"/>
        <w:ind w:left="0" w:right="0" w:firstLine="709"/>
        <w:contextualSpacing/>
        <w:rPr>
          <w:sz w:val="20"/>
        </w:rPr>
      </w:pPr>
    </w:p>
    <w:p w:rsidR="00A32AF8" w:rsidRPr="001C3381" w:rsidRDefault="00A32AF8" w:rsidP="009226A7">
      <w:pPr>
        <w:pStyle w:val="a3"/>
        <w:widowControl/>
        <w:spacing w:line="276" w:lineRule="auto"/>
        <w:ind w:left="0" w:right="0" w:firstLine="709"/>
        <w:contextualSpacing/>
        <w:jc w:val="left"/>
        <w:rPr>
          <w:sz w:val="24"/>
          <w:szCs w:val="24"/>
        </w:rPr>
      </w:pPr>
    </w:p>
    <w:p w:rsidR="00A61EB1" w:rsidRPr="00B03201" w:rsidRDefault="00A61EB1" w:rsidP="009226A7">
      <w:pPr>
        <w:spacing w:line="276" w:lineRule="auto"/>
        <w:jc w:val="right"/>
      </w:pPr>
      <w:r w:rsidRPr="00B03201">
        <w:lastRenderedPageBreak/>
        <w:t xml:space="preserve">Приложение </w:t>
      </w:r>
      <w:r w:rsidR="00B03201" w:rsidRPr="00B03201">
        <w:t>2</w:t>
      </w:r>
      <w:r w:rsidRPr="00B03201">
        <w:t xml:space="preserve"> </w:t>
      </w:r>
    </w:p>
    <w:p w:rsidR="00A61EB1" w:rsidRPr="00B03201" w:rsidRDefault="00A61EB1" w:rsidP="009226A7">
      <w:pPr>
        <w:pStyle w:val="a3"/>
        <w:widowControl/>
        <w:spacing w:line="276" w:lineRule="auto"/>
        <w:ind w:left="0" w:right="0" w:firstLine="709"/>
        <w:contextualSpacing/>
        <w:rPr>
          <w:b/>
          <w:sz w:val="20"/>
        </w:rPr>
      </w:pPr>
      <w:r w:rsidRPr="00B03201">
        <w:rPr>
          <w:b/>
          <w:sz w:val="20"/>
        </w:rPr>
        <w:t xml:space="preserve">Резюме участника коллективной номинации Премии </w:t>
      </w:r>
    </w:p>
    <w:p w:rsidR="00A61EB1" w:rsidRPr="00B03201" w:rsidRDefault="00A61EB1" w:rsidP="009226A7">
      <w:pPr>
        <w:spacing w:before="20" w:after="20" w:line="276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589"/>
        <w:gridCol w:w="936"/>
        <w:gridCol w:w="507"/>
        <w:gridCol w:w="4075"/>
      </w:tblGrid>
      <w:tr w:rsidR="00A61EB1" w:rsidRPr="00B03201" w:rsidTr="00A61EB1">
        <w:trPr>
          <w:trHeight w:val="1896"/>
        </w:trPr>
        <w:tc>
          <w:tcPr>
            <w:tcW w:w="9396" w:type="dxa"/>
            <w:gridSpan w:val="5"/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28"/>
              <w:gridCol w:w="6378"/>
            </w:tblGrid>
            <w:tr w:rsidR="00A61EB1" w:rsidRPr="00B03201" w:rsidTr="00A61EB1">
              <w:trPr>
                <w:trHeight w:val="609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>Наименование объединения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</w:p>
              </w:tc>
            </w:tr>
            <w:tr w:rsidR="00A61EB1" w:rsidRPr="00B03201" w:rsidTr="00A61EB1">
              <w:trPr>
                <w:trHeight w:val="500"/>
              </w:trPr>
              <w:tc>
                <w:tcPr>
                  <w:tcW w:w="382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>Дата создания</w:t>
                  </w:r>
                </w:p>
              </w:tc>
              <w:tc>
                <w:tcPr>
                  <w:tcW w:w="637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</w:p>
              </w:tc>
            </w:tr>
            <w:tr w:rsidR="00A61EB1" w:rsidRPr="00B03201" w:rsidTr="00A61EB1">
              <w:trPr>
                <w:trHeight w:val="443"/>
              </w:trPr>
              <w:tc>
                <w:tcPr>
                  <w:tcW w:w="382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 xml:space="preserve">Субъект РФ </w:t>
                  </w:r>
                </w:p>
              </w:tc>
              <w:tc>
                <w:tcPr>
                  <w:tcW w:w="637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</w:p>
              </w:tc>
            </w:tr>
            <w:tr w:rsidR="00A61EB1" w:rsidRPr="00B03201" w:rsidTr="00A61EB1">
              <w:trPr>
                <w:trHeight w:val="443"/>
              </w:trPr>
              <w:tc>
                <w:tcPr>
                  <w:tcW w:w="382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>Образовательная организация (в соответствии с уставными документами)</w:t>
                  </w:r>
                </w:p>
              </w:tc>
              <w:tc>
                <w:tcPr>
                  <w:tcW w:w="637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</w:p>
              </w:tc>
            </w:tr>
            <w:tr w:rsidR="00A61EB1" w:rsidRPr="00B03201" w:rsidTr="00A61EB1">
              <w:trPr>
                <w:trHeight w:val="443"/>
              </w:trPr>
              <w:tc>
                <w:tcPr>
                  <w:tcW w:w="382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  <w:r w:rsidRPr="00B03201">
                    <w:t>ФИО представителей (2-3 представителя от объединения)</w:t>
                  </w:r>
                </w:p>
              </w:tc>
              <w:tc>
                <w:tcPr>
                  <w:tcW w:w="6378" w:type="dxa"/>
                </w:tcPr>
                <w:p w:rsidR="00A61EB1" w:rsidRPr="00B03201" w:rsidRDefault="00A61EB1" w:rsidP="009226A7">
                  <w:pPr>
                    <w:spacing w:before="20" w:after="20" w:line="276" w:lineRule="auto"/>
                    <w:contextualSpacing/>
                  </w:pPr>
                </w:p>
              </w:tc>
            </w:tr>
          </w:tbl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9396" w:type="dxa"/>
            <w:gridSpan w:val="5"/>
            <w:shd w:val="clear" w:color="auto" w:fill="D9D9D9"/>
          </w:tcPr>
          <w:p w:rsidR="00A61EB1" w:rsidRPr="00B03201" w:rsidRDefault="00A61EB1" w:rsidP="00A46E33">
            <w:pPr>
              <w:spacing w:before="20" w:after="20" w:line="276" w:lineRule="auto"/>
              <w:contextualSpacing/>
            </w:pPr>
            <w:r w:rsidRPr="00B03201">
              <w:t xml:space="preserve">Достижения, реализованные проекты и практики согласно заявленной номинации (согласно п. </w:t>
            </w:r>
            <w:r w:rsidR="00A46E33">
              <w:t>5</w:t>
            </w:r>
            <w:r w:rsidRPr="00B03201">
              <w:t xml:space="preserve"> Положения), не более 10 д</w:t>
            </w:r>
            <w:r w:rsidR="00856A19" w:rsidRPr="00B03201">
              <w:t>остижений с сентября 2017</w:t>
            </w:r>
            <w:r w:rsidRPr="00B03201">
              <w:t xml:space="preserve"> г. </w:t>
            </w: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№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Дата</w:t>
            </w:r>
          </w:p>
        </w:tc>
        <w:tc>
          <w:tcPr>
            <w:tcW w:w="5432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Содержание</w:t>
            </w: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1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5432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2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5432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…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5432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9396" w:type="dxa"/>
            <w:gridSpan w:val="5"/>
            <w:shd w:val="clear" w:color="auto" w:fill="D9D9D9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Региональные, всероссийские и международные награды (благодарственные письма, грамоты, сертификаты), не более 5 наград</w:t>
            </w:r>
            <w:r w:rsidR="00856A19" w:rsidRPr="00B03201">
              <w:t xml:space="preserve"> с сентября 2017</w:t>
            </w:r>
            <w:r w:rsidRPr="00B03201">
              <w:t xml:space="preserve"> г. </w:t>
            </w: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№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Дата вручения</w:t>
            </w:r>
          </w:p>
        </w:tc>
        <w:tc>
          <w:tcPr>
            <w:tcW w:w="1666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 xml:space="preserve">Организация </w:t>
            </w:r>
          </w:p>
        </w:tc>
        <w:tc>
          <w:tcPr>
            <w:tcW w:w="3766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Предмет вручения (</w:t>
            </w:r>
            <w:proofErr w:type="gramStart"/>
            <w:r w:rsidRPr="00B03201">
              <w:t>за</w:t>
            </w:r>
            <w:proofErr w:type="gramEnd"/>
            <w:r w:rsidRPr="00B03201">
              <w:t>…)</w:t>
            </w: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1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1666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3766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2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1666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3766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76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…</w:t>
            </w:r>
          </w:p>
        </w:tc>
        <w:tc>
          <w:tcPr>
            <w:tcW w:w="3197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1666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  <w:tc>
          <w:tcPr>
            <w:tcW w:w="3766" w:type="dxa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9396" w:type="dxa"/>
            <w:gridSpan w:val="5"/>
            <w:shd w:val="clear" w:color="auto" w:fill="D9D9D9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Общественная деятельность (не более 10 основных достижений с сентября 201</w:t>
            </w:r>
            <w:r w:rsidR="00856A19" w:rsidRPr="00B03201">
              <w:t>7</w:t>
            </w:r>
            <w:r w:rsidRPr="00B03201">
              <w:t xml:space="preserve"> г.) </w:t>
            </w:r>
          </w:p>
        </w:tc>
      </w:tr>
      <w:tr w:rsidR="00A61EB1" w:rsidRPr="00B03201" w:rsidTr="00A61EB1">
        <w:tc>
          <w:tcPr>
            <w:tcW w:w="9396" w:type="dxa"/>
            <w:gridSpan w:val="5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9396" w:type="dxa"/>
            <w:gridSpan w:val="5"/>
            <w:shd w:val="clear" w:color="auto" w:fill="D9D9D9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 xml:space="preserve">Дополнительная информация об объединении (не более 5 пунктов) </w:t>
            </w:r>
          </w:p>
        </w:tc>
      </w:tr>
      <w:tr w:rsidR="00A61EB1" w:rsidRPr="00B03201" w:rsidTr="00A61EB1">
        <w:tc>
          <w:tcPr>
            <w:tcW w:w="9396" w:type="dxa"/>
            <w:gridSpan w:val="5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9396" w:type="dxa"/>
            <w:gridSpan w:val="5"/>
            <w:shd w:val="clear" w:color="auto" w:fill="D9D9D9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Контактная информация</w:t>
            </w:r>
          </w:p>
        </w:tc>
      </w:tr>
      <w:tr w:rsidR="00A61EB1" w:rsidRPr="00B03201" w:rsidTr="00A61EB1">
        <w:tc>
          <w:tcPr>
            <w:tcW w:w="5049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Почтовый адрес</w:t>
            </w:r>
          </w:p>
        </w:tc>
        <w:tc>
          <w:tcPr>
            <w:tcW w:w="4347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5049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Номер телефона</w:t>
            </w:r>
          </w:p>
        </w:tc>
        <w:tc>
          <w:tcPr>
            <w:tcW w:w="4347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  <w:tr w:rsidR="00A61EB1" w:rsidRPr="00B03201" w:rsidTr="00A61EB1">
        <w:tc>
          <w:tcPr>
            <w:tcW w:w="5049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Адрес электронной почты</w:t>
            </w:r>
          </w:p>
        </w:tc>
        <w:tc>
          <w:tcPr>
            <w:tcW w:w="4347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  <w:rPr>
                <w:lang w:val="en-US"/>
              </w:rPr>
            </w:pPr>
          </w:p>
        </w:tc>
      </w:tr>
      <w:tr w:rsidR="00A61EB1" w:rsidRPr="00B03201" w:rsidTr="00A61EB1">
        <w:tc>
          <w:tcPr>
            <w:tcW w:w="5049" w:type="dxa"/>
            <w:gridSpan w:val="3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  <w:r w:rsidRPr="00B03201">
              <w:t>Адреса страниц в социальных сетях</w:t>
            </w:r>
          </w:p>
        </w:tc>
        <w:tc>
          <w:tcPr>
            <w:tcW w:w="4347" w:type="dxa"/>
            <w:gridSpan w:val="2"/>
          </w:tcPr>
          <w:p w:rsidR="00A61EB1" w:rsidRPr="00B03201" w:rsidRDefault="00A61EB1" w:rsidP="009226A7">
            <w:pPr>
              <w:spacing w:before="20" w:after="20" w:line="276" w:lineRule="auto"/>
              <w:contextualSpacing/>
            </w:pPr>
          </w:p>
        </w:tc>
      </w:tr>
    </w:tbl>
    <w:p w:rsidR="00A61EB1" w:rsidRPr="00B03201" w:rsidRDefault="00A61EB1" w:rsidP="009226A7">
      <w:pPr>
        <w:pStyle w:val="a3"/>
        <w:widowControl/>
        <w:spacing w:line="276" w:lineRule="auto"/>
        <w:ind w:left="0" w:right="0"/>
        <w:contextualSpacing/>
        <w:jc w:val="left"/>
        <w:rPr>
          <w:sz w:val="20"/>
        </w:rPr>
      </w:pPr>
    </w:p>
    <w:p w:rsidR="00A61EB1" w:rsidRPr="00B03201" w:rsidRDefault="00A61EB1" w:rsidP="009226A7">
      <w:pPr>
        <w:pStyle w:val="a3"/>
        <w:widowControl/>
        <w:spacing w:line="276" w:lineRule="auto"/>
        <w:ind w:left="0" w:right="0"/>
        <w:contextualSpacing/>
        <w:jc w:val="left"/>
        <w:rPr>
          <w:sz w:val="20"/>
        </w:rPr>
      </w:pPr>
    </w:p>
    <w:sectPr w:rsidR="00A61EB1" w:rsidRPr="00B03201" w:rsidSect="00EF175F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57" w:rsidRDefault="00062857" w:rsidP="00D135AC">
      <w:r>
        <w:separator/>
      </w:r>
    </w:p>
  </w:endnote>
  <w:endnote w:type="continuationSeparator" w:id="0">
    <w:p w:rsidR="00062857" w:rsidRDefault="00062857" w:rsidP="00D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57" w:rsidRDefault="00062857" w:rsidP="00D135AC">
      <w:r>
        <w:separator/>
      </w:r>
    </w:p>
  </w:footnote>
  <w:footnote w:type="continuationSeparator" w:id="0">
    <w:p w:rsidR="00062857" w:rsidRDefault="00062857" w:rsidP="00D1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70735"/>
      <w:docPartObj>
        <w:docPartGallery w:val="Page Numbers (Top of Page)"/>
        <w:docPartUnique/>
      </w:docPartObj>
    </w:sdtPr>
    <w:sdtContent>
      <w:p w:rsidR="00F177E8" w:rsidRDefault="00B0565E">
        <w:pPr>
          <w:pStyle w:val="ae"/>
          <w:jc w:val="center"/>
        </w:pPr>
        <w:fldSimple w:instr="PAGE   \* MERGEFORMAT">
          <w:r w:rsidR="00A46E33">
            <w:rPr>
              <w:noProof/>
            </w:rPr>
            <w:t>8</w:t>
          </w:r>
        </w:fldSimple>
      </w:p>
    </w:sdtContent>
  </w:sdt>
  <w:p w:rsidR="00F177E8" w:rsidRPr="00D135AC" w:rsidRDefault="00F177E8" w:rsidP="00D135AC">
    <w:pPr>
      <w:pStyle w:val="ae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0D058D"/>
    <w:multiLevelType w:val="multilevel"/>
    <w:tmpl w:val="D98C8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BA21CE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3129"/>
    <w:multiLevelType w:val="hybridMultilevel"/>
    <w:tmpl w:val="5E707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CF8"/>
    <w:multiLevelType w:val="multilevel"/>
    <w:tmpl w:val="E5987B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6">
    <w:nsid w:val="493F3247"/>
    <w:multiLevelType w:val="hybridMultilevel"/>
    <w:tmpl w:val="7F824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74E"/>
    <w:multiLevelType w:val="hybridMultilevel"/>
    <w:tmpl w:val="8534B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133C2"/>
    <w:rsid w:val="00012234"/>
    <w:rsid w:val="000143F4"/>
    <w:rsid w:val="00021BDB"/>
    <w:rsid w:val="00024220"/>
    <w:rsid w:val="000359D1"/>
    <w:rsid w:val="00036775"/>
    <w:rsid w:val="00062857"/>
    <w:rsid w:val="00076491"/>
    <w:rsid w:val="00096B57"/>
    <w:rsid w:val="000A1C09"/>
    <w:rsid w:val="000A6776"/>
    <w:rsid w:val="000F46D8"/>
    <w:rsid w:val="00116D2D"/>
    <w:rsid w:val="00126035"/>
    <w:rsid w:val="0014633D"/>
    <w:rsid w:val="001844D5"/>
    <w:rsid w:val="001939C5"/>
    <w:rsid w:val="001B60B9"/>
    <w:rsid w:val="001C3381"/>
    <w:rsid w:val="001E4575"/>
    <w:rsid w:val="001E768C"/>
    <w:rsid w:val="001F53AD"/>
    <w:rsid w:val="00216E00"/>
    <w:rsid w:val="00230D61"/>
    <w:rsid w:val="00265319"/>
    <w:rsid w:val="00267B0B"/>
    <w:rsid w:val="00271E94"/>
    <w:rsid w:val="0027386A"/>
    <w:rsid w:val="002B1DCA"/>
    <w:rsid w:val="002C3E4C"/>
    <w:rsid w:val="002D2F00"/>
    <w:rsid w:val="002E085F"/>
    <w:rsid w:val="00302460"/>
    <w:rsid w:val="00305776"/>
    <w:rsid w:val="00316F81"/>
    <w:rsid w:val="00320A6A"/>
    <w:rsid w:val="0034041D"/>
    <w:rsid w:val="00364CA0"/>
    <w:rsid w:val="0038178E"/>
    <w:rsid w:val="00392D17"/>
    <w:rsid w:val="00395C18"/>
    <w:rsid w:val="003A55AE"/>
    <w:rsid w:val="003A71ED"/>
    <w:rsid w:val="003E7623"/>
    <w:rsid w:val="00416CD4"/>
    <w:rsid w:val="00492B43"/>
    <w:rsid w:val="004E3ADC"/>
    <w:rsid w:val="004E53D7"/>
    <w:rsid w:val="0050178A"/>
    <w:rsid w:val="00520C38"/>
    <w:rsid w:val="005241EF"/>
    <w:rsid w:val="0053139C"/>
    <w:rsid w:val="005343D1"/>
    <w:rsid w:val="005405F2"/>
    <w:rsid w:val="005412D8"/>
    <w:rsid w:val="00563755"/>
    <w:rsid w:val="00567660"/>
    <w:rsid w:val="00576E6F"/>
    <w:rsid w:val="005845D5"/>
    <w:rsid w:val="005932A1"/>
    <w:rsid w:val="005956D3"/>
    <w:rsid w:val="005B6438"/>
    <w:rsid w:val="005C396A"/>
    <w:rsid w:val="005F6904"/>
    <w:rsid w:val="0065661F"/>
    <w:rsid w:val="0068591A"/>
    <w:rsid w:val="00695008"/>
    <w:rsid w:val="006C0AA5"/>
    <w:rsid w:val="006D5B9A"/>
    <w:rsid w:val="00706F22"/>
    <w:rsid w:val="00710A0E"/>
    <w:rsid w:val="00712997"/>
    <w:rsid w:val="007219DB"/>
    <w:rsid w:val="0072647F"/>
    <w:rsid w:val="00730CE7"/>
    <w:rsid w:val="0074006A"/>
    <w:rsid w:val="00754849"/>
    <w:rsid w:val="007748B1"/>
    <w:rsid w:val="0078507F"/>
    <w:rsid w:val="007D2DDE"/>
    <w:rsid w:val="007D6E26"/>
    <w:rsid w:val="007E351F"/>
    <w:rsid w:val="00812546"/>
    <w:rsid w:val="00813163"/>
    <w:rsid w:val="00813C48"/>
    <w:rsid w:val="0084096A"/>
    <w:rsid w:val="00846B54"/>
    <w:rsid w:val="00856A19"/>
    <w:rsid w:val="00884E07"/>
    <w:rsid w:val="00895532"/>
    <w:rsid w:val="008A1426"/>
    <w:rsid w:val="008B177C"/>
    <w:rsid w:val="008C3519"/>
    <w:rsid w:val="008C6A4D"/>
    <w:rsid w:val="008C79A6"/>
    <w:rsid w:val="008D0A11"/>
    <w:rsid w:val="008F1B5C"/>
    <w:rsid w:val="00904274"/>
    <w:rsid w:val="009226A7"/>
    <w:rsid w:val="00946268"/>
    <w:rsid w:val="009631A5"/>
    <w:rsid w:val="00981282"/>
    <w:rsid w:val="009916B6"/>
    <w:rsid w:val="009B57A3"/>
    <w:rsid w:val="009D0DD0"/>
    <w:rsid w:val="009F0395"/>
    <w:rsid w:val="00A029E9"/>
    <w:rsid w:val="00A11C23"/>
    <w:rsid w:val="00A32AF8"/>
    <w:rsid w:val="00A40B1D"/>
    <w:rsid w:val="00A46E33"/>
    <w:rsid w:val="00A47DFA"/>
    <w:rsid w:val="00A55514"/>
    <w:rsid w:val="00A61EB1"/>
    <w:rsid w:val="00A71CAC"/>
    <w:rsid w:val="00A76565"/>
    <w:rsid w:val="00A87514"/>
    <w:rsid w:val="00A90AD3"/>
    <w:rsid w:val="00A9144F"/>
    <w:rsid w:val="00A94718"/>
    <w:rsid w:val="00AA2A69"/>
    <w:rsid w:val="00AB56A7"/>
    <w:rsid w:val="00AD0BA5"/>
    <w:rsid w:val="00AE125F"/>
    <w:rsid w:val="00AE610D"/>
    <w:rsid w:val="00B03201"/>
    <w:rsid w:val="00B0565E"/>
    <w:rsid w:val="00B30CA6"/>
    <w:rsid w:val="00B31293"/>
    <w:rsid w:val="00B37B10"/>
    <w:rsid w:val="00B461D9"/>
    <w:rsid w:val="00B74798"/>
    <w:rsid w:val="00B74B65"/>
    <w:rsid w:val="00BE1F1A"/>
    <w:rsid w:val="00C01CE0"/>
    <w:rsid w:val="00C133C2"/>
    <w:rsid w:val="00C137A5"/>
    <w:rsid w:val="00C36D23"/>
    <w:rsid w:val="00C401DE"/>
    <w:rsid w:val="00C45752"/>
    <w:rsid w:val="00C64D5A"/>
    <w:rsid w:val="00C92FD2"/>
    <w:rsid w:val="00C957D6"/>
    <w:rsid w:val="00CA5289"/>
    <w:rsid w:val="00CD3C04"/>
    <w:rsid w:val="00D007D9"/>
    <w:rsid w:val="00D11376"/>
    <w:rsid w:val="00D135AC"/>
    <w:rsid w:val="00D20E83"/>
    <w:rsid w:val="00D62815"/>
    <w:rsid w:val="00D67EDF"/>
    <w:rsid w:val="00D711F4"/>
    <w:rsid w:val="00D76B82"/>
    <w:rsid w:val="00D97417"/>
    <w:rsid w:val="00DA6C83"/>
    <w:rsid w:val="00DB7DE0"/>
    <w:rsid w:val="00DC042F"/>
    <w:rsid w:val="00DD21AE"/>
    <w:rsid w:val="00DD33E9"/>
    <w:rsid w:val="00E26689"/>
    <w:rsid w:val="00E300D9"/>
    <w:rsid w:val="00E35504"/>
    <w:rsid w:val="00E6303E"/>
    <w:rsid w:val="00E6666C"/>
    <w:rsid w:val="00E83A67"/>
    <w:rsid w:val="00EA4147"/>
    <w:rsid w:val="00EB392D"/>
    <w:rsid w:val="00EC434F"/>
    <w:rsid w:val="00ED2E15"/>
    <w:rsid w:val="00EF175F"/>
    <w:rsid w:val="00EF4D93"/>
    <w:rsid w:val="00EF7281"/>
    <w:rsid w:val="00EF7AA3"/>
    <w:rsid w:val="00F1032F"/>
    <w:rsid w:val="00F177E8"/>
    <w:rsid w:val="00F179A3"/>
    <w:rsid w:val="00F46DC1"/>
    <w:rsid w:val="00F57667"/>
    <w:rsid w:val="00F62127"/>
    <w:rsid w:val="00F91174"/>
    <w:rsid w:val="00FA2908"/>
    <w:rsid w:val="00FC0A30"/>
    <w:rsid w:val="00FC23B2"/>
    <w:rsid w:val="00FE0B22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32AF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A32AF8"/>
    <w:pPr>
      <w:ind w:left="720"/>
      <w:contextualSpacing/>
    </w:pPr>
  </w:style>
  <w:style w:type="character" w:styleId="a5">
    <w:name w:val="Hyperlink"/>
    <w:unhideWhenUsed/>
    <w:rsid w:val="00A32AF8"/>
    <w:rPr>
      <w:color w:val="0000FF"/>
      <w:u w:val="single"/>
    </w:rPr>
  </w:style>
  <w:style w:type="paragraph" w:styleId="a6">
    <w:name w:val="Body Text"/>
    <w:basedOn w:val="a"/>
    <w:link w:val="a7"/>
    <w:rsid w:val="00A32AF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A32A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A32AF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A32AF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A32AF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A32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A32AF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A32AF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uiPriority w:val="59"/>
    <w:rsid w:val="00A3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A32AF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A32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A32AF8"/>
  </w:style>
  <w:style w:type="paragraph" w:styleId="ae">
    <w:name w:val="header"/>
    <w:basedOn w:val="a"/>
    <w:link w:val="af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2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k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10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WS8</cp:lastModifiedBy>
  <cp:revision>26</cp:revision>
  <cp:lastPrinted>2019-09-02T08:20:00Z</cp:lastPrinted>
  <dcterms:created xsi:type="dcterms:W3CDTF">2019-07-05T09:09:00Z</dcterms:created>
  <dcterms:modified xsi:type="dcterms:W3CDTF">2019-09-03T09:50:00Z</dcterms:modified>
</cp:coreProperties>
</file>